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26" w:rsidRDefault="00403A78" w:rsidP="008E7126">
      <w:pPr>
        <w:jc w:val="both"/>
        <w:rPr>
          <w:sz w:val="24"/>
          <w:szCs w:val="24"/>
        </w:rPr>
      </w:pPr>
      <w:r>
        <w:rPr>
          <w:sz w:val="24"/>
          <w:szCs w:val="24"/>
        </w:rPr>
        <w:t xml:space="preserve">Cher Monsieur </w:t>
      </w:r>
      <w:r w:rsidRPr="00403A78">
        <w:rPr>
          <w:sz w:val="24"/>
          <w:szCs w:val="24"/>
        </w:rPr>
        <w:t>Eddy LIEGEOIS</w:t>
      </w:r>
    </w:p>
    <w:p w:rsidR="00403A78" w:rsidRDefault="00403A78" w:rsidP="008E7126">
      <w:pPr>
        <w:jc w:val="both"/>
        <w:rPr>
          <w:sz w:val="24"/>
          <w:szCs w:val="24"/>
        </w:rPr>
      </w:pPr>
      <w:r>
        <w:rPr>
          <w:sz w:val="24"/>
          <w:szCs w:val="24"/>
        </w:rPr>
        <w:t xml:space="preserve">Nous vous remercions vivement pour votre longue réponse à notre courrier du 27 mai relatif </w:t>
      </w:r>
      <w:r w:rsidRPr="00403A78">
        <w:rPr>
          <w:sz w:val="24"/>
          <w:szCs w:val="24"/>
        </w:rPr>
        <w:t xml:space="preserve">au Grand Projet ferroviaire du </w:t>
      </w:r>
      <w:proofErr w:type="spellStart"/>
      <w:r w:rsidRPr="00403A78">
        <w:rPr>
          <w:sz w:val="24"/>
          <w:szCs w:val="24"/>
        </w:rPr>
        <w:t>Sud-Ouest</w:t>
      </w:r>
      <w:proofErr w:type="spellEnd"/>
      <w:r w:rsidRPr="00403A78">
        <w:rPr>
          <w:sz w:val="24"/>
          <w:szCs w:val="24"/>
        </w:rPr>
        <w:t xml:space="preserve"> (GPSO)</w:t>
      </w:r>
      <w:r>
        <w:rPr>
          <w:sz w:val="24"/>
          <w:szCs w:val="24"/>
        </w:rPr>
        <w:t>. Permettez-nous cependant d’apporter quelques précisions sur ce sujet et d’émettre quelques réserves.</w:t>
      </w:r>
    </w:p>
    <w:p w:rsidR="002C500D" w:rsidRDefault="00C62AD6" w:rsidP="008E7126">
      <w:pPr>
        <w:jc w:val="both"/>
        <w:rPr>
          <w:sz w:val="24"/>
          <w:szCs w:val="24"/>
        </w:rPr>
      </w:pPr>
      <w:r>
        <w:rPr>
          <w:sz w:val="24"/>
          <w:szCs w:val="24"/>
        </w:rPr>
        <w:t>E</w:t>
      </w:r>
      <w:r w:rsidR="00403A78">
        <w:rPr>
          <w:sz w:val="24"/>
          <w:szCs w:val="24"/>
        </w:rPr>
        <w:t>tant donné la spécificité d</w:t>
      </w:r>
      <w:r w:rsidR="007038B3">
        <w:rPr>
          <w:sz w:val="24"/>
          <w:szCs w:val="24"/>
        </w:rPr>
        <w:t>e</w:t>
      </w:r>
      <w:r w:rsidR="00403A78">
        <w:rPr>
          <w:sz w:val="24"/>
          <w:szCs w:val="24"/>
        </w:rPr>
        <w:t xml:space="preserve"> nos associations</w:t>
      </w:r>
      <w:r w:rsidR="008D7904">
        <w:rPr>
          <w:sz w:val="24"/>
          <w:szCs w:val="24"/>
        </w:rPr>
        <w:t>,</w:t>
      </w:r>
      <w:r w:rsidR="00403A78">
        <w:rPr>
          <w:sz w:val="24"/>
          <w:szCs w:val="24"/>
        </w:rPr>
        <w:t xml:space="preserve"> nous sommes très sensibles aux émissions de gaz à effet de serre par les transports et à la recherche d’une neutralité climatique dans les plus brefs délais. </w:t>
      </w:r>
      <w:r w:rsidR="007038B3" w:rsidRPr="007038B3">
        <w:rPr>
          <w:sz w:val="24"/>
          <w:szCs w:val="24"/>
        </w:rPr>
        <w:t xml:space="preserve">Tous nos adhérents militent de longue date en ce sens. </w:t>
      </w:r>
      <w:r w:rsidR="007038B3">
        <w:rPr>
          <w:sz w:val="24"/>
          <w:szCs w:val="24"/>
        </w:rPr>
        <w:t>Dans cette optique</w:t>
      </w:r>
      <w:r w:rsidR="008D7904">
        <w:rPr>
          <w:sz w:val="24"/>
          <w:szCs w:val="24"/>
        </w:rPr>
        <w:t>,</w:t>
      </w:r>
      <w:r w:rsidR="007038B3">
        <w:rPr>
          <w:sz w:val="24"/>
          <w:szCs w:val="24"/>
        </w:rPr>
        <w:t xml:space="preserve"> le renforcement du  trafic par rail nous paraît indispensable. Faut-il pour autant</w:t>
      </w:r>
      <w:r w:rsidR="008D7904">
        <w:rPr>
          <w:sz w:val="24"/>
          <w:szCs w:val="24"/>
        </w:rPr>
        <w:t xml:space="preserve"> continuer à</w:t>
      </w:r>
      <w:r w:rsidR="007038B3">
        <w:rPr>
          <w:sz w:val="24"/>
          <w:szCs w:val="24"/>
        </w:rPr>
        <w:t xml:space="preserve"> construire des lignes à grande vitesse</w:t>
      </w:r>
      <w:r w:rsidR="008D7904">
        <w:rPr>
          <w:sz w:val="24"/>
          <w:szCs w:val="24"/>
        </w:rPr>
        <w:t xml:space="preserve"> pour répondre à l’urgence climatique</w:t>
      </w:r>
      <w:r w:rsidR="007038B3">
        <w:rPr>
          <w:sz w:val="24"/>
          <w:szCs w:val="24"/>
        </w:rPr>
        <w:t xml:space="preserve"> ? </w:t>
      </w:r>
    </w:p>
    <w:p w:rsidR="00E31DB9" w:rsidRDefault="002C500D" w:rsidP="002235BC">
      <w:pPr>
        <w:jc w:val="both"/>
        <w:rPr>
          <w:sz w:val="24"/>
          <w:szCs w:val="24"/>
        </w:rPr>
      </w:pPr>
      <w:r w:rsidRPr="002C500D">
        <w:rPr>
          <w:sz w:val="24"/>
          <w:szCs w:val="24"/>
        </w:rPr>
        <w:t>Dans son rapport de 2014,</w:t>
      </w:r>
      <w:r>
        <w:rPr>
          <w:sz w:val="24"/>
          <w:szCs w:val="24"/>
        </w:rPr>
        <w:t xml:space="preserve"> </w:t>
      </w:r>
      <w:r w:rsidRPr="002C500D">
        <w:rPr>
          <w:sz w:val="24"/>
          <w:szCs w:val="24"/>
        </w:rPr>
        <w:t xml:space="preserve">la Cour des comptes </w:t>
      </w:r>
      <w:r>
        <w:rPr>
          <w:sz w:val="24"/>
          <w:szCs w:val="24"/>
        </w:rPr>
        <w:t xml:space="preserve">française </w:t>
      </w:r>
      <w:r w:rsidRPr="002C500D">
        <w:rPr>
          <w:sz w:val="24"/>
          <w:szCs w:val="24"/>
        </w:rPr>
        <w:t>constat</w:t>
      </w:r>
      <w:r w:rsidR="008D7904">
        <w:rPr>
          <w:sz w:val="24"/>
          <w:szCs w:val="24"/>
        </w:rPr>
        <w:t>ait</w:t>
      </w:r>
      <w:r w:rsidRPr="002C500D">
        <w:rPr>
          <w:sz w:val="24"/>
          <w:szCs w:val="24"/>
        </w:rPr>
        <w:t xml:space="preserve">: </w:t>
      </w:r>
    </w:p>
    <w:p w:rsidR="00E31DB9" w:rsidRDefault="002C500D" w:rsidP="00E31DB9">
      <w:pPr>
        <w:ind w:left="708"/>
        <w:jc w:val="both"/>
        <w:rPr>
          <w:sz w:val="24"/>
          <w:szCs w:val="24"/>
        </w:rPr>
      </w:pPr>
      <w:r w:rsidRPr="002235BC">
        <w:rPr>
          <w:i/>
          <w:sz w:val="24"/>
          <w:szCs w:val="24"/>
        </w:rPr>
        <w:t>« De nombreuses études en France et à l’étranger confirment ce constat de faible effet de la grande vitesse sur le gain en émission de GES.</w:t>
      </w:r>
      <w:r w:rsidR="00A869B6">
        <w:rPr>
          <w:rStyle w:val="Appelnotedebasdep"/>
          <w:i/>
          <w:sz w:val="24"/>
          <w:szCs w:val="24"/>
        </w:rPr>
        <w:footnoteReference w:id="1"/>
      </w:r>
      <w:r w:rsidRPr="002235BC">
        <w:rPr>
          <w:i/>
          <w:sz w:val="24"/>
          <w:szCs w:val="24"/>
        </w:rPr>
        <w:t> »</w:t>
      </w:r>
      <w:r w:rsidRPr="002C500D">
        <w:rPr>
          <w:sz w:val="24"/>
          <w:szCs w:val="24"/>
        </w:rPr>
        <w:t xml:space="preserve"> </w:t>
      </w:r>
      <w:r w:rsidR="002235BC">
        <w:rPr>
          <w:sz w:val="24"/>
          <w:szCs w:val="24"/>
        </w:rPr>
        <w:t xml:space="preserve"> </w:t>
      </w:r>
    </w:p>
    <w:p w:rsidR="00403A78" w:rsidRDefault="002C500D" w:rsidP="002235BC">
      <w:pPr>
        <w:jc w:val="both"/>
        <w:rPr>
          <w:rFonts w:cs="FrutigerLTStd-Light"/>
          <w:sz w:val="24"/>
          <w:szCs w:val="24"/>
        </w:rPr>
      </w:pPr>
      <w:r w:rsidRPr="002235BC">
        <w:rPr>
          <w:rFonts w:cs="FrutigerLTStd-Light"/>
          <w:sz w:val="24"/>
          <w:szCs w:val="24"/>
        </w:rPr>
        <w:t xml:space="preserve">Ainsi, pour le projet de LGV entre Stockholm et </w:t>
      </w:r>
      <w:proofErr w:type="spellStart"/>
      <w:r w:rsidRPr="002235BC">
        <w:rPr>
          <w:rFonts w:cs="FrutigerLTStd-Light"/>
          <w:sz w:val="24"/>
          <w:szCs w:val="24"/>
        </w:rPr>
        <w:t>Malmoë</w:t>
      </w:r>
      <w:proofErr w:type="spellEnd"/>
      <w:r w:rsidRPr="002235BC">
        <w:rPr>
          <w:rFonts w:cs="FrutigerLTStd-Light"/>
          <w:sz w:val="24"/>
          <w:szCs w:val="24"/>
        </w:rPr>
        <w:t>, des chercheurs suédois [Nilsson</w:t>
      </w:r>
      <w:r w:rsidR="002235BC" w:rsidRPr="002235BC">
        <w:rPr>
          <w:sz w:val="24"/>
          <w:szCs w:val="24"/>
        </w:rPr>
        <w:t xml:space="preserve"> </w:t>
      </w:r>
      <w:r w:rsidRPr="002235BC">
        <w:rPr>
          <w:rFonts w:cs="FrutigerLTStd-Light"/>
          <w:sz w:val="24"/>
          <w:szCs w:val="24"/>
        </w:rPr>
        <w:t xml:space="preserve">J.E. &amp; </w:t>
      </w:r>
      <w:proofErr w:type="spellStart"/>
      <w:r w:rsidRPr="002235BC">
        <w:rPr>
          <w:rFonts w:cs="FrutigerLTStd-Light"/>
          <w:sz w:val="24"/>
          <w:szCs w:val="24"/>
        </w:rPr>
        <w:t>Pydokke</w:t>
      </w:r>
      <w:proofErr w:type="spellEnd"/>
      <w:r w:rsidRPr="002235BC">
        <w:rPr>
          <w:rFonts w:cs="FrutigerLTStd-Light"/>
          <w:sz w:val="24"/>
          <w:szCs w:val="24"/>
        </w:rPr>
        <w:t xml:space="preserve"> R., 2009] ont montré que la construction d’une LGV représente d’importantes émissions de gaz à effet de serre, difficiles à compenser dans le temps quand les trafics sont faibles</w:t>
      </w:r>
      <w:r>
        <w:rPr>
          <w:rFonts w:ascii="FrutigerLTStd-Light" w:hAnsi="FrutigerLTStd-Light" w:cs="FrutigerLTStd-Light"/>
          <w:sz w:val="20"/>
          <w:szCs w:val="20"/>
        </w:rPr>
        <w:t xml:space="preserve"> </w:t>
      </w:r>
      <w:r w:rsidRPr="002235BC">
        <w:rPr>
          <w:rFonts w:cs="FrutigerLTStd-Light"/>
          <w:sz w:val="24"/>
          <w:szCs w:val="24"/>
        </w:rPr>
        <w:t xml:space="preserve">Un </w:t>
      </w:r>
      <w:r w:rsidR="008D7904">
        <w:rPr>
          <w:rFonts w:cs="FrutigerLTStd-Light"/>
          <w:sz w:val="24"/>
          <w:szCs w:val="24"/>
        </w:rPr>
        <w:t>b</w:t>
      </w:r>
      <w:r w:rsidRPr="002235BC">
        <w:rPr>
          <w:rFonts w:cs="FrutigerLTStd-Light"/>
          <w:sz w:val="24"/>
          <w:szCs w:val="24"/>
        </w:rPr>
        <w:t>ilan carbone conduit par RFF sur la branche Est du TGV</w:t>
      </w:r>
      <w:r w:rsidR="002235BC" w:rsidRPr="002235BC">
        <w:rPr>
          <w:sz w:val="24"/>
          <w:szCs w:val="24"/>
        </w:rPr>
        <w:t xml:space="preserve"> </w:t>
      </w:r>
      <w:r w:rsidRPr="002235BC">
        <w:rPr>
          <w:rFonts w:cs="FrutigerLTStd-Light"/>
          <w:sz w:val="24"/>
          <w:szCs w:val="24"/>
        </w:rPr>
        <w:t>Rhin-Rhône (ouverte au trafic fin 2011) a montré qu’il fallait attendre 12 années de trafic pour compenser, par la baisse des émissions de CO2 permises par les TGV, les émissions liées au chantier de construction. Mais</w:t>
      </w:r>
      <w:r w:rsidR="007038B3" w:rsidRPr="002235BC">
        <w:rPr>
          <w:sz w:val="24"/>
          <w:szCs w:val="24"/>
        </w:rPr>
        <w:t xml:space="preserve"> </w:t>
      </w:r>
      <w:r w:rsidRPr="002235BC">
        <w:rPr>
          <w:rFonts w:cs="FrutigerLTStd-Light"/>
          <w:sz w:val="24"/>
          <w:szCs w:val="24"/>
        </w:rPr>
        <w:t>comme les trafics sont très inférieurs aux estimations initiales, il faudra 25 années au moins pour arriver à ce résultat</w:t>
      </w:r>
      <w:r w:rsidR="008D7904">
        <w:rPr>
          <w:rStyle w:val="Appelnotedebasdep"/>
          <w:rFonts w:cs="FrutigerLTStd-Light"/>
          <w:sz w:val="24"/>
          <w:szCs w:val="24"/>
        </w:rPr>
        <w:footnoteReference w:id="2"/>
      </w:r>
      <w:r w:rsidR="002235BC">
        <w:rPr>
          <w:rFonts w:cs="FrutigerLTStd-Light"/>
          <w:sz w:val="24"/>
          <w:szCs w:val="24"/>
        </w:rPr>
        <w:t> !</w:t>
      </w:r>
    </w:p>
    <w:p w:rsidR="00E31DB9" w:rsidRDefault="002235BC" w:rsidP="00E31DB9">
      <w:pPr>
        <w:jc w:val="both"/>
        <w:rPr>
          <w:rFonts w:cs="FrutigerLTStd-Light"/>
          <w:sz w:val="24"/>
          <w:szCs w:val="24"/>
        </w:rPr>
      </w:pPr>
      <w:r>
        <w:rPr>
          <w:rFonts w:cs="FrutigerLTStd-Light"/>
          <w:sz w:val="24"/>
          <w:szCs w:val="24"/>
        </w:rPr>
        <w:t>La modernisation des lignes existantes est une alternative crédible, respectueuse de l’environnement et nettement moins ém</w:t>
      </w:r>
      <w:r w:rsidR="00292DAB">
        <w:rPr>
          <w:rFonts w:cs="FrutigerLTStd-Light"/>
          <w:sz w:val="24"/>
          <w:szCs w:val="24"/>
        </w:rPr>
        <w:t>et</w:t>
      </w:r>
      <w:r>
        <w:rPr>
          <w:rFonts w:cs="FrutigerLTStd-Light"/>
          <w:sz w:val="24"/>
          <w:szCs w:val="24"/>
        </w:rPr>
        <w:t xml:space="preserve">trice de GES. Cette option que nous défendons est rarement retenue. La Cour européenne des comptes le constate dans son rapport : </w:t>
      </w:r>
    </w:p>
    <w:p w:rsidR="00E31DB9" w:rsidRDefault="002235BC" w:rsidP="00E31DB9">
      <w:pPr>
        <w:ind w:left="708"/>
        <w:jc w:val="both"/>
        <w:rPr>
          <w:rFonts w:cs="FrutigerLTStd-Light"/>
          <w:i/>
          <w:sz w:val="24"/>
          <w:szCs w:val="24"/>
        </w:rPr>
      </w:pPr>
      <w:r w:rsidRPr="002235BC">
        <w:rPr>
          <w:rFonts w:cs="FrutigerLTStd-Light"/>
          <w:i/>
          <w:sz w:val="24"/>
          <w:szCs w:val="24"/>
        </w:rPr>
        <w:t>« </w:t>
      </w:r>
      <w:proofErr w:type="gramStart"/>
      <w:r w:rsidRPr="002235BC">
        <w:rPr>
          <w:rFonts w:cs="FrutigerLTStd-Light"/>
          <w:i/>
          <w:sz w:val="24"/>
          <w:szCs w:val="24"/>
        </w:rPr>
        <w:t>la</w:t>
      </w:r>
      <w:proofErr w:type="gramEnd"/>
      <w:r w:rsidRPr="002235BC">
        <w:rPr>
          <w:rFonts w:cs="FrutigerLTStd-Light"/>
          <w:i/>
          <w:sz w:val="24"/>
          <w:szCs w:val="24"/>
        </w:rPr>
        <w:t xml:space="preserve"> solution alternative, qui consisterait à aménager les lignes conventionnelles existantes, est rarement prise dûment en considération, alors qu'elle pourrait permettre de réaliser des économies non négligeable</w:t>
      </w:r>
      <w:r w:rsidR="00386F20">
        <w:rPr>
          <w:rFonts w:cs="FrutigerLTStd-Light"/>
          <w:i/>
          <w:sz w:val="24"/>
          <w:szCs w:val="24"/>
        </w:rPr>
        <w:t>s</w:t>
      </w:r>
      <w:r w:rsidR="00A869B6">
        <w:rPr>
          <w:rFonts w:cs="FrutigerLTStd-Light"/>
          <w:i/>
          <w:sz w:val="24"/>
          <w:szCs w:val="24"/>
        </w:rPr>
        <w:t xml:space="preserve"> </w:t>
      </w:r>
      <w:r w:rsidR="00A869B6">
        <w:rPr>
          <w:rStyle w:val="Appelnotedebasdep"/>
          <w:rFonts w:cs="FrutigerLTStd-Light"/>
          <w:i/>
          <w:sz w:val="24"/>
          <w:szCs w:val="24"/>
        </w:rPr>
        <w:footnoteReference w:id="3"/>
      </w:r>
      <w:r w:rsidRPr="002235BC">
        <w:rPr>
          <w:rFonts w:cs="FrutigerLTStd-Light"/>
          <w:i/>
          <w:sz w:val="24"/>
          <w:szCs w:val="24"/>
        </w:rPr>
        <w:t xml:space="preserve"> ». </w:t>
      </w:r>
    </w:p>
    <w:p w:rsidR="00E31DB9" w:rsidRPr="008D7904" w:rsidRDefault="00E31DB9" w:rsidP="00E31DB9">
      <w:pPr>
        <w:jc w:val="both"/>
        <w:rPr>
          <w:sz w:val="24"/>
          <w:szCs w:val="24"/>
        </w:rPr>
      </w:pPr>
      <w:r w:rsidRPr="008D7904">
        <w:rPr>
          <w:rFonts w:cs="FrutigerLTStd-Light"/>
          <w:sz w:val="24"/>
          <w:szCs w:val="24"/>
        </w:rPr>
        <w:t>En 2013, Jean-Louis Bianco, ancien ministre des transports, auteur d’un rapport</w:t>
      </w:r>
      <w:r w:rsidRPr="008D7904">
        <w:rPr>
          <w:rStyle w:val="Appelnotedebasdep"/>
          <w:rFonts w:cs="FrutigerLTStd-Light"/>
          <w:sz w:val="24"/>
          <w:szCs w:val="24"/>
        </w:rPr>
        <w:footnoteReference w:id="4"/>
      </w:r>
      <w:r w:rsidRPr="008D7904">
        <w:rPr>
          <w:sz w:val="24"/>
          <w:szCs w:val="24"/>
        </w:rPr>
        <w:t xml:space="preserve"> conseille de : </w:t>
      </w:r>
    </w:p>
    <w:p w:rsidR="00E31DB9" w:rsidRPr="008D7904" w:rsidRDefault="00E31DB9" w:rsidP="00E31DB9">
      <w:pPr>
        <w:ind w:left="708"/>
        <w:jc w:val="both"/>
        <w:rPr>
          <w:rFonts w:cs="FrutigerLTStd-Light"/>
          <w:sz w:val="24"/>
          <w:szCs w:val="24"/>
        </w:rPr>
      </w:pPr>
      <w:r w:rsidRPr="008D7904">
        <w:rPr>
          <w:i/>
          <w:sz w:val="24"/>
          <w:szCs w:val="24"/>
        </w:rPr>
        <w:t>« </w:t>
      </w:r>
      <w:proofErr w:type="gramStart"/>
      <w:r w:rsidRPr="008D7904">
        <w:rPr>
          <w:rFonts w:cs="FrutigerLTStd-Light"/>
          <w:i/>
          <w:sz w:val="24"/>
          <w:szCs w:val="24"/>
        </w:rPr>
        <w:t>développer</w:t>
      </w:r>
      <w:proofErr w:type="gramEnd"/>
      <w:r w:rsidRPr="008D7904">
        <w:rPr>
          <w:rFonts w:cs="FrutigerLTStd-Light"/>
          <w:i/>
          <w:sz w:val="24"/>
          <w:szCs w:val="24"/>
        </w:rPr>
        <w:t xml:space="preserve"> des offres de services mieux adaptés aux besoins »</w:t>
      </w:r>
      <w:r w:rsidRPr="008D7904">
        <w:rPr>
          <w:rFonts w:cs="FrutigerLTStd-Light"/>
          <w:sz w:val="24"/>
          <w:szCs w:val="24"/>
        </w:rPr>
        <w:t xml:space="preserve"> avec </w:t>
      </w:r>
      <w:r w:rsidRPr="008D7904">
        <w:rPr>
          <w:rFonts w:cs="FrutigerLTStd-Light"/>
          <w:i/>
          <w:sz w:val="24"/>
          <w:szCs w:val="24"/>
        </w:rPr>
        <w:t>« une nouvelle offre de transport, s’articulant autour de trains circulant à 200 km/h, utilisant le plus souvent possible les voies existantes et offrant un niveau de service de très bonne qualité.</w:t>
      </w:r>
      <w:r w:rsidRPr="008D7904">
        <w:rPr>
          <w:rStyle w:val="Appelnotedebasdep"/>
          <w:rFonts w:cs="FrutigerLTStd-Light"/>
          <w:i/>
          <w:sz w:val="24"/>
          <w:szCs w:val="24"/>
        </w:rPr>
        <w:footnoteReference w:id="5"/>
      </w:r>
      <w:r w:rsidRPr="008D7904">
        <w:rPr>
          <w:rFonts w:cs="FrutigerLTStd-Light"/>
          <w:i/>
          <w:sz w:val="24"/>
          <w:szCs w:val="24"/>
        </w:rPr>
        <w:t> »</w:t>
      </w:r>
    </w:p>
    <w:p w:rsidR="00E31DB9" w:rsidRDefault="00386F20" w:rsidP="00E31DB9">
      <w:pPr>
        <w:jc w:val="both"/>
        <w:rPr>
          <w:rFonts w:cs="FrutigerLTStd-Light"/>
          <w:sz w:val="24"/>
          <w:szCs w:val="24"/>
        </w:rPr>
      </w:pPr>
      <w:r>
        <w:rPr>
          <w:rFonts w:cs="FrutigerLTStd-Light"/>
          <w:sz w:val="24"/>
          <w:szCs w:val="24"/>
        </w:rPr>
        <w:t>En 2018, le Conseil d’Orientation des Infrastructures</w:t>
      </w:r>
      <w:r w:rsidR="00C62AD6">
        <w:rPr>
          <w:rFonts w:cs="FrutigerLTStd-Light"/>
          <w:sz w:val="24"/>
          <w:szCs w:val="24"/>
        </w:rPr>
        <w:t>,</w:t>
      </w:r>
      <w:r>
        <w:rPr>
          <w:rFonts w:cs="FrutigerLTStd-Light"/>
          <w:sz w:val="24"/>
          <w:szCs w:val="24"/>
        </w:rPr>
        <w:t xml:space="preserve"> rattaché au ministère des transports</w:t>
      </w:r>
      <w:r w:rsidR="00C62AD6">
        <w:rPr>
          <w:rFonts w:cs="FrutigerLTStd-Light"/>
          <w:sz w:val="24"/>
          <w:szCs w:val="24"/>
        </w:rPr>
        <w:t>,</w:t>
      </w:r>
      <w:r>
        <w:rPr>
          <w:rFonts w:cs="FrutigerLTStd-Light"/>
          <w:sz w:val="24"/>
          <w:szCs w:val="24"/>
        </w:rPr>
        <w:t xml:space="preserve"> indiquait dans son rapport : </w:t>
      </w:r>
    </w:p>
    <w:p w:rsidR="002235BC" w:rsidRPr="00292DAB" w:rsidRDefault="008D7904" w:rsidP="00E31DB9">
      <w:pPr>
        <w:ind w:left="708"/>
        <w:jc w:val="both"/>
        <w:rPr>
          <w:rFonts w:cs="FrutigerLTStd-Light"/>
          <w:sz w:val="24"/>
          <w:szCs w:val="24"/>
        </w:rPr>
      </w:pPr>
      <w:r>
        <w:rPr>
          <w:rFonts w:cs="FrutigerLTStd-Light"/>
          <w:i/>
          <w:sz w:val="24"/>
          <w:szCs w:val="24"/>
        </w:rPr>
        <w:t>« L</w:t>
      </w:r>
      <w:r w:rsidR="00386F20" w:rsidRPr="00386F20">
        <w:rPr>
          <w:rFonts w:cs="FrutigerLTStd-Light"/>
          <w:i/>
          <w:sz w:val="24"/>
          <w:szCs w:val="24"/>
        </w:rPr>
        <w:t>’opportunité de ligne nouvelle Bordeaux-Dax doit être réinterrogée à plus longue échéance. Il semble en effet que moyennant des travaux de relèvement de vitesse sur la ligne, il est possible d’obtenir quasiment les mêmes bénéfices qu’une ligne nouvelle à un coût bien moindre</w:t>
      </w:r>
      <w:r w:rsidR="00386F20">
        <w:rPr>
          <w:rFonts w:cs="FrutigerLTStd-Light"/>
          <w:i/>
          <w:sz w:val="24"/>
          <w:szCs w:val="24"/>
        </w:rPr>
        <w:t xml:space="preserve">. Dans les faits, </w:t>
      </w:r>
      <w:r w:rsidR="00386F20" w:rsidRPr="00386F20">
        <w:rPr>
          <w:rFonts w:cs="FrutigerLTStd-Light"/>
          <w:i/>
          <w:sz w:val="24"/>
          <w:szCs w:val="24"/>
        </w:rPr>
        <w:t xml:space="preserve">l’infrastructure nouvelle ne serait justifiable que par une saturation de la ligne existante pour </w:t>
      </w:r>
      <w:r w:rsidR="00386F20" w:rsidRPr="00386F20">
        <w:rPr>
          <w:rFonts w:cs="FrutigerLTStd-Light"/>
          <w:i/>
          <w:sz w:val="24"/>
          <w:szCs w:val="24"/>
        </w:rPr>
        <w:lastRenderedPageBreak/>
        <w:t>répondre aux besoins du fret, ce qui n’est pas le cas aujourd’hui et ne semble pas  envisageable avant un horizon lointain.</w:t>
      </w:r>
      <w:r w:rsidR="00386F20">
        <w:rPr>
          <w:rStyle w:val="Appelnotedebasdep"/>
          <w:rFonts w:cs="FrutigerLTStd-Light"/>
          <w:i/>
          <w:sz w:val="24"/>
          <w:szCs w:val="24"/>
        </w:rPr>
        <w:footnoteReference w:id="6"/>
      </w:r>
      <w:r w:rsidR="00386F20" w:rsidRPr="00386F20">
        <w:rPr>
          <w:rFonts w:cs="FrutigerLTStd-Light"/>
          <w:sz w:val="24"/>
          <w:szCs w:val="24"/>
        </w:rPr>
        <w:t> »</w:t>
      </w:r>
      <w:r w:rsidR="00292DAB">
        <w:rPr>
          <w:rFonts w:cs="FrutigerLTStd-Light"/>
          <w:sz w:val="24"/>
          <w:szCs w:val="24"/>
        </w:rPr>
        <w:t xml:space="preserve"> </w:t>
      </w:r>
    </w:p>
    <w:p w:rsidR="00386F20" w:rsidRDefault="008D7904" w:rsidP="002235BC">
      <w:pPr>
        <w:jc w:val="both"/>
        <w:rPr>
          <w:sz w:val="24"/>
          <w:szCs w:val="24"/>
        </w:rPr>
      </w:pPr>
      <w:r>
        <w:rPr>
          <w:sz w:val="24"/>
          <w:szCs w:val="24"/>
        </w:rPr>
        <w:t xml:space="preserve">Vous soulignez, avec raison, comme l’un des </w:t>
      </w:r>
      <w:r w:rsidRPr="008E7126">
        <w:rPr>
          <w:sz w:val="24"/>
          <w:szCs w:val="24"/>
        </w:rPr>
        <w:t>enjeux posés pour le rail, l’absorption du report modal du trafic de marchandises routier</w:t>
      </w:r>
      <w:r>
        <w:rPr>
          <w:sz w:val="24"/>
          <w:szCs w:val="24"/>
        </w:rPr>
        <w:t>. Un enjeu que nous défendons</w:t>
      </w:r>
      <w:r w:rsidR="00386B65">
        <w:rPr>
          <w:sz w:val="24"/>
          <w:szCs w:val="24"/>
        </w:rPr>
        <w:t xml:space="preserve"> activement</w:t>
      </w:r>
      <w:r>
        <w:rPr>
          <w:sz w:val="24"/>
          <w:szCs w:val="24"/>
        </w:rPr>
        <w:t xml:space="preserve"> mais en proposant des solutions différentes</w:t>
      </w:r>
      <w:r w:rsidR="003A22A3">
        <w:rPr>
          <w:sz w:val="24"/>
          <w:szCs w:val="24"/>
        </w:rPr>
        <w:t>.</w:t>
      </w:r>
    </w:p>
    <w:p w:rsidR="003A22A3" w:rsidRDefault="003A22A3" w:rsidP="002235BC">
      <w:pPr>
        <w:jc w:val="both"/>
        <w:rPr>
          <w:b/>
          <w:sz w:val="24"/>
          <w:szCs w:val="24"/>
        </w:rPr>
      </w:pPr>
      <w:r w:rsidRPr="003A22A3">
        <w:rPr>
          <w:b/>
          <w:sz w:val="24"/>
          <w:szCs w:val="24"/>
        </w:rPr>
        <w:t>Paragraphe sur le fret ferroviaire</w:t>
      </w:r>
    </w:p>
    <w:p w:rsidR="005304D0" w:rsidRPr="005304D0" w:rsidRDefault="005304D0" w:rsidP="005304D0">
      <w:pPr>
        <w:jc w:val="both"/>
        <w:rPr>
          <w:bCs/>
          <w:i/>
          <w:sz w:val="24"/>
          <w:szCs w:val="24"/>
        </w:rPr>
      </w:pPr>
      <w:r>
        <w:rPr>
          <w:sz w:val="24"/>
          <w:szCs w:val="24"/>
        </w:rPr>
        <w:t>Nous nous permettons de vous rappeler l</w:t>
      </w:r>
      <w:r w:rsidRPr="005304D0">
        <w:rPr>
          <w:sz w:val="24"/>
          <w:szCs w:val="24"/>
        </w:rPr>
        <w:t>es réponses de la Commission</w:t>
      </w:r>
      <w:r>
        <w:rPr>
          <w:sz w:val="24"/>
          <w:szCs w:val="24"/>
        </w:rPr>
        <w:t xml:space="preserve"> Européenne </w:t>
      </w:r>
      <w:r w:rsidRPr="005304D0">
        <w:rPr>
          <w:sz w:val="24"/>
          <w:szCs w:val="24"/>
        </w:rPr>
        <w:t xml:space="preserve"> </w:t>
      </w:r>
      <w:r>
        <w:rPr>
          <w:sz w:val="24"/>
          <w:szCs w:val="24"/>
        </w:rPr>
        <w:t>au</w:t>
      </w:r>
      <w:r w:rsidRPr="005304D0">
        <w:rPr>
          <w:sz w:val="24"/>
          <w:szCs w:val="24"/>
        </w:rPr>
        <w:t xml:space="preserve"> rapport </w:t>
      </w:r>
      <w:r>
        <w:rPr>
          <w:sz w:val="24"/>
          <w:szCs w:val="24"/>
        </w:rPr>
        <w:t xml:space="preserve">de la </w:t>
      </w:r>
      <w:r>
        <w:rPr>
          <w:rFonts w:ascii="Calibri" w:hAnsi="Calibri" w:cs="Calibri"/>
          <w:bCs/>
          <w:sz w:val="24"/>
          <w:szCs w:val="24"/>
        </w:rPr>
        <w:t>Cour européenne</w:t>
      </w:r>
      <w:r w:rsidR="00B57C51">
        <w:rPr>
          <w:rFonts w:ascii="Calibri" w:hAnsi="Calibri" w:cs="Calibri"/>
          <w:bCs/>
          <w:sz w:val="24"/>
          <w:szCs w:val="24"/>
        </w:rPr>
        <w:t xml:space="preserve"> </w:t>
      </w:r>
      <w:r>
        <w:rPr>
          <w:rFonts w:ascii="Calibri" w:hAnsi="Calibri" w:cs="Calibri"/>
          <w:bCs/>
          <w:sz w:val="24"/>
          <w:szCs w:val="24"/>
        </w:rPr>
        <w:t>de</w:t>
      </w:r>
      <w:r w:rsidRPr="003A22A3">
        <w:rPr>
          <w:rFonts w:ascii="Calibri" w:hAnsi="Calibri" w:cs="Calibri"/>
          <w:bCs/>
          <w:sz w:val="24"/>
          <w:szCs w:val="24"/>
        </w:rPr>
        <w:t>s comptes</w:t>
      </w:r>
      <w:r w:rsidR="00B57C51" w:rsidRPr="00B57C51">
        <w:rPr>
          <w:rFonts w:ascii="Calibri" w:hAnsi="Calibri" w:cs="Calibri"/>
          <w:bCs/>
          <w:sz w:val="24"/>
          <w:szCs w:val="24"/>
          <w:vertAlign w:val="superscript"/>
        </w:rPr>
        <w:footnoteReference w:id="7"/>
      </w:r>
      <w:r w:rsidR="00B57C51" w:rsidRPr="00B57C51">
        <w:rPr>
          <w:rFonts w:ascii="Calibri" w:hAnsi="Calibri" w:cs="Calibri"/>
          <w:bCs/>
          <w:sz w:val="24"/>
          <w:szCs w:val="24"/>
        </w:rPr>
        <w:t xml:space="preserve"> </w:t>
      </w:r>
      <w:r w:rsidRPr="003A22A3">
        <w:rPr>
          <w:rFonts w:ascii="Calibri" w:hAnsi="Calibri" w:cs="Calibri"/>
          <w:bCs/>
          <w:sz w:val="24"/>
          <w:szCs w:val="24"/>
        </w:rPr>
        <w:t xml:space="preserve"> </w:t>
      </w:r>
      <w:r>
        <w:rPr>
          <w:sz w:val="24"/>
          <w:szCs w:val="24"/>
        </w:rPr>
        <w:t>sur</w:t>
      </w:r>
      <w:r w:rsidRPr="005304D0">
        <w:rPr>
          <w:sz w:val="24"/>
          <w:szCs w:val="24"/>
        </w:rPr>
        <w:t xml:space="preserve"> la liaison transfrontalière Vitoria-Dax et son prolongement vers Bordeaux :</w:t>
      </w:r>
    </w:p>
    <w:p w:rsidR="005304D0" w:rsidRDefault="005304D0" w:rsidP="00B57C51">
      <w:pPr>
        <w:ind w:left="708"/>
        <w:jc w:val="both"/>
        <w:rPr>
          <w:i/>
          <w:sz w:val="24"/>
          <w:szCs w:val="24"/>
        </w:rPr>
      </w:pPr>
      <w:r w:rsidRPr="005304D0">
        <w:rPr>
          <w:i/>
          <w:sz w:val="24"/>
          <w:szCs w:val="24"/>
        </w:rPr>
        <w:t xml:space="preserve">« La France a en effet reporté au-delà de 2037 la nouvelle ligne à grande vitesse entre Bordeaux et Dax, puis de Dax jusqu’à la frontière. </w:t>
      </w:r>
      <w:r w:rsidRPr="00D63E89">
        <w:rPr>
          <w:i/>
          <w:sz w:val="24"/>
          <w:szCs w:val="24"/>
        </w:rPr>
        <w:t>Pour la deuxième meilleure option</w:t>
      </w:r>
      <w:r w:rsidRPr="005304D0">
        <w:rPr>
          <w:i/>
          <w:sz w:val="24"/>
          <w:szCs w:val="24"/>
        </w:rPr>
        <w:t xml:space="preserve">, toutefois, la Commission européenne a ouvert des discussions avec les autorités françaises et le réseau de la SNCF </w:t>
      </w:r>
      <w:r w:rsidRPr="005304D0">
        <w:rPr>
          <w:i/>
          <w:sz w:val="24"/>
          <w:szCs w:val="24"/>
          <w:u w:val="single"/>
        </w:rPr>
        <w:t>afin que la ligne existante soit mise à niveau</w:t>
      </w:r>
      <w:r w:rsidRPr="005304D0">
        <w:rPr>
          <w:i/>
          <w:sz w:val="24"/>
          <w:szCs w:val="24"/>
        </w:rPr>
        <w:t xml:space="preserve"> à temps pour le démarrage de l’exploitation de l’Y basque. </w:t>
      </w:r>
      <w:r w:rsidRPr="005304D0">
        <w:rPr>
          <w:i/>
          <w:sz w:val="24"/>
          <w:szCs w:val="24"/>
          <w:u w:val="single"/>
        </w:rPr>
        <w:t>Cela permettra de disposer d’une connexion transfrontalière efficace de capacité suffisante.</w:t>
      </w:r>
      <w:r w:rsidR="00B57C51">
        <w:rPr>
          <w:rStyle w:val="Appelnotedebasdep"/>
          <w:i/>
          <w:sz w:val="24"/>
          <w:szCs w:val="24"/>
          <w:u w:val="single"/>
        </w:rPr>
        <w:footnoteReference w:id="8"/>
      </w:r>
      <w:r w:rsidRPr="005304D0">
        <w:rPr>
          <w:i/>
          <w:sz w:val="24"/>
          <w:szCs w:val="24"/>
        </w:rPr>
        <w:t xml:space="preserve"> »</w:t>
      </w:r>
    </w:p>
    <w:p w:rsidR="00A31130" w:rsidRDefault="00B57C51" w:rsidP="00B57C51">
      <w:pPr>
        <w:jc w:val="both"/>
        <w:rPr>
          <w:rFonts w:eastAsia="SimSun" w:cs="Times New Roman"/>
          <w:bCs/>
          <w:sz w:val="24"/>
          <w:szCs w:val="24"/>
          <w:lang w:eastAsia="zh-CN"/>
        </w:rPr>
      </w:pPr>
      <w:r>
        <w:rPr>
          <w:sz w:val="24"/>
          <w:szCs w:val="24"/>
        </w:rPr>
        <w:t xml:space="preserve">Dans ces conditions quel intérêt pour l’Europe de soutenir la construction du GPSO ? </w:t>
      </w:r>
      <w:r w:rsidR="00C62AD6">
        <w:rPr>
          <w:sz w:val="24"/>
          <w:szCs w:val="24"/>
        </w:rPr>
        <w:t>Vous connaissez comme nous</w:t>
      </w:r>
      <w:r w:rsidR="00D63E89">
        <w:rPr>
          <w:sz w:val="24"/>
          <w:szCs w:val="24"/>
        </w:rPr>
        <w:t>,</w:t>
      </w:r>
      <w:r>
        <w:rPr>
          <w:sz w:val="24"/>
          <w:szCs w:val="24"/>
        </w:rPr>
        <w:t xml:space="preserve"> les méfaits dénoncés par l’ensemble des experts, de la grande vitesse ferroviaire sur l’aménagement du territoire :</w:t>
      </w:r>
      <w:r w:rsidR="00D12412">
        <w:rPr>
          <w:sz w:val="24"/>
          <w:szCs w:val="24"/>
        </w:rPr>
        <w:t xml:space="preserve"> accompagnement et renforcement de la métropolisation</w:t>
      </w:r>
      <w:r>
        <w:rPr>
          <w:sz w:val="24"/>
          <w:szCs w:val="24"/>
        </w:rPr>
        <w:t xml:space="preserve"> </w:t>
      </w:r>
      <w:r w:rsidR="00ED2D1C" w:rsidRPr="00ED2D1C">
        <w:t xml:space="preserve"> </w:t>
      </w:r>
      <w:r w:rsidR="00D12412">
        <w:rPr>
          <w:rFonts w:eastAsia="SimSun" w:cs="Times New Roman"/>
          <w:bCs/>
          <w:sz w:val="24"/>
          <w:szCs w:val="24"/>
          <w:lang w:eastAsia="zh-CN"/>
        </w:rPr>
        <w:t>(</w:t>
      </w:r>
      <w:proofErr w:type="spellStart"/>
      <w:r w:rsidR="00A31130" w:rsidRPr="00A31130">
        <w:rPr>
          <w:rFonts w:eastAsia="SimSun" w:cs="Times New Roman"/>
          <w:bCs/>
          <w:sz w:val="24"/>
          <w:szCs w:val="24"/>
          <w:lang w:eastAsia="zh-CN"/>
        </w:rPr>
        <w:t>Offner</w:t>
      </w:r>
      <w:proofErr w:type="spellEnd"/>
      <w:r w:rsidR="00A31130" w:rsidRPr="00A31130">
        <w:rPr>
          <w:rFonts w:eastAsia="SimSun" w:cs="Times New Roman"/>
          <w:bCs/>
          <w:sz w:val="24"/>
          <w:szCs w:val="24"/>
          <w:lang w:eastAsia="zh-CN"/>
        </w:rPr>
        <w:t xml:space="preserve"> J.-M., 1993</w:t>
      </w:r>
      <w:r w:rsidR="00A31130">
        <w:rPr>
          <w:rFonts w:eastAsia="SimSun" w:cs="Times New Roman"/>
          <w:bCs/>
          <w:sz w:val="24"/>
          <w:szCs w:val="24"/>
          <w:lang w:eastAsia="zh-CN"/>
        </w:rPr>
        <w:t xml:space="preserve">, </w:t>
      </w:r>
      <w:proofErr w:type="spellStart"/>
      <w:r w:rsidR="00D12412">
        <w:rPr>
          <w:rFonts w:eastAsia="SimSun" w:cs="Times New Roman"/>
          <w:bCs/>
          <w:sz w:val="24"/>
          <w:szCs w:val="24"/>
          <w:lang w:eastAsia="zh-CN"/>
        </w:rPr>
        <w:t>Delaplace</w:t>
      </w:r>
      <w:proofErr w:type="spellEnd"/>
      <w:r w:rsidR="00D12412">
        <w:rPr>
          <w:rFonts w:eastAsia="SimSun" w:cs="Times New Roman"/>
          <w:bCs/>
          <w:sz w:val="24"/>
          <w:szCs w:val="24"/>
          <w:lang w:eastAsia="zh-CN"/>
        </w:rPr>
        <w:t>, 2012 ; Bazin et al</w:t>
      </w:r>
      <w:r w:rsidR="00ED2D1C" w:rsidRPr="00ED2D1C">
        <w:rPr>
          <w:rFonts w:eastAsia="SimSun" w:cs="Times New Roman"/>
          <w:bCs/>
          <w:sz w:val="24"/>
          <w:szCs w:val="24"/>
          <w:lang w:eastAsia="zh-CN"/>
        </w:rPr>
        <w:t>, 2013a)</w:t>
      </w:r>
      <w:r w:rsidR="00D12412">
        <w:rPr>
          <w:rFonts w:eastAsia="SimSun" w:cs="Times New Roman"/>
          <w:bCs/>
          <w:sz w:val="24"/>
          <w:szCs w:val="24"/>
          <w:lang w:eastAsia="zh-CN"/>
        </w:rPr>
        <w:t xml:space="preserve"> ; risque de fracture des territoires par une moins bonne  desserte de certaines villes moyennes et </w:t>
      </w:r>
      <w:r w:rsidR="00C62AD6">
        <w:rPr>
          <w:rFonts w:eastAsia="SimSun" w:cs="Times New Roman"/>
          <w:bCs/>
          <w:sz w:val="24"/>
          <w:szCs w:val="24"/>
          <w:lang w:eastAsia="zh-CN"/>
        </w:rPr>
        <w:t xml:space="preserve">le </w:t>
      </w:r>
      <w:r w:rsidR="00D12412">
        <w:rPr>
          <w:rFonts w:eastAsia="SimSun" w:cs="Times New Roman"/>
          <w:bCs/>
          <w:sz w:val="24"/>
          <w:szCs w:val="24"/>
          <w:lang w:eastAsia="zh-CN"/>
        </w:rPr>
        <w:t xml:space="preserve">décrochage </w:t>
      </w:r>
      <w:r w:rsidR="00D12412" w:rsidRPr="00D12412">
        <w:rPr>
          <w:rFonts w:eastAsia="SimSun" w:cs="Times New Roman"/>
          <w:bCs/>
          <w:sz w:val="24"/>
          <w:szCs w:val="24"/>
          <w:lang w:eastAsia="zh-CN"/>
        </w:rPr>
        <w:t>des territoires les plus éloig</w:t>
      </w:r>
      <w:r w:rsidR="00D12412">
        <w:rPr>
          <w:rFonts w:eastAsia="SimSun" w:cs="Times New Roman"/>
          <w:bCs/>
          <w:sz w:val="24"/>
          <w:szCs w:val="24"/>
          <w:lang w:eastAsia="zh-CN"/>
        </w:rPr>
        <w:t xml:space="preserve">nés des grands centres urbains </w:t>
      </w:r>
      <w:r w:rsidR="00D12412" w:rsidRPr="00D12412">
        <w:rPr>
          <w:rFonts w:eastAsia="SimSun" w:cs="Times New Roman"/>
          <w:bCs/>
          <w:sz w:val="24"/>
          <w:szCs w:val="24"/>
          <w:lang w:eastAsia="zh-CN"/>
        </w:rPr>
        <w:t xml:space="preserve">par “effet-tunnel” </w:t>
      </w:r>
      <w:r w:rsidR="00D12412">
        <w:rPr>
          <w:rFonts w:eastAsia="SimSun" w:cs="Times New Roman"/>
          <w:bCs/>
          <w:sz w:val="24"/>
          <w:szCs w:val="24"/>
          <w:lang w:eastAsia="zh-CN"/>
        </w:rPr>
        <w:t>(</w:t>
      </w:r>
      <w:r w:rsidR="00D12412" w:rsidRPr="00D12412">
        <w:rPr>
          <w:rFonts w:eastAsia="SimSun" w:cs="Times New Roman"/>
          <w:bCs/>
          <w:sz w:val="24"/>
          <w:szCs w:val="24"/>
          <w:lang w:eastAsia="zh-CN"/>
        </w:rPr>
        <w:t xml:space="preserve">Bazin, </w:t>
      </w:r>
      <w:proofErr w:type="spellStart"/>
      <w:r w:rsidR="00D12412" w:rsidRPr="00D12412">
        <w:rPr>
          <w:rFonts w:eastAsia="SimSun" w:cs="Times New Roman"/>
          <w:bCs/>
          <w:sz w:val="24"/>
          <w:szCs w:val="24"/>
          <w:lang w:eastAsia="zh-CN"/>
        </w:rPr>
        <w:t>Beckerich</w:t>
      </w:r>
      <w:proofErr w:type="spellEnd"/>
      <w:r w:rsidR="00A31130">
        <w:rPr>
          <w:rFonts w:eastAsia="SimSun" w:cs="Times New Roman"/>
          <w:bCs/>
          <w:sz w:val="24"/>
          <w:szCs w:val="24"/>
          <w:lang w:eastAsia="zh-CN"/>
        </w:rPr>
        <w:t>, 20</w:t>
      </w:r>
      <w:r w:rsidR="00A666FD">
        <w:rPr>
          <w:rFonts w:eastAsia="SimSun" w:cs="Times New Roman"/>
          <w:bCs/>
          <w:sz w:val="24"/>
          <w:szCs w:val="24"/>
          <w:lang w:eastAsia="zh-CN"/>
        </w:rPr>
        <w:t>09</w:t>
      </w:r>
      <w:r w:rsidR="00A31130">
        <w:rPr>
          <w:rFonts w:eastAsia="SimSun" w:cs="Times New Roman"/>
          <w:bCs/>
          <w:sz w:val="24"/>
          <w:szCs w:val="24"/>
          <w:lang w:eastAsia="zh-CN"/>
        </w:rPr>
        <w:t xml:space="preserve">). Ces experts concluent à propos de la LGV : </w:t>
      </w:r>
    </w:p>
    <w:p w:rsidR="00B57C51" w:rsidRDefault="00A31130" w:rsidP="00A31130">
      <w:pPr>
        <w:ind w:left="708"/>
        <w:jc w:val="both"/>
        <w:rPr>
          <w:rFonts w:eastAsia="SimSun" w:cs="Times New Roman"/>
          <w:bCs/>
          <w:i/>
          <w:sz w:val="24"/>
          <w:szCs w:val="24"/>
          <w:lang w:eastAsia="zh-CN"/>
        </w:rPr>
      </w:pPr>
      <w:r w:rsidRPr="00A31130">
        <w:rPr>
          <w:rFonts w:eastAsia="SimSun" w:cs="Times New Roman"/>
          <w:bCs/>
          <w:i/>
          <w:sz w:val="24"/>
          <w:szCs w:val="24"/>
          <w:lang w:eastAsia="zh-CN"/>
        </w:rPr>
        <w:t>« </w:t>
      </w:r>
      <w:r w:rsidR="00A666FD">
        <w:rPr>
          <w:rFonts w:eastAsia="SimSun" w:cs="Times New Roman"/>
          <w:bCs/>
          <w:i/>
          <w:sz w:val="24"/>
          <w:szCs w:val="24"/>
          <w:lang w:eastAsia="zh-CN"/>
        </w:rPr>
        <w:t>C</w:t>
      </w:r>
      <w:r w:rsidRPr="00A31130">
        <w:rPr>
          <w:rFonts w:eastAsia="SimSun" w:cs="Times New Roman"/>
          <w:bCs/>
          <w:i/>
          <w:sz w:val="24"/>
          <w:szCs w:val="24"/>
          <w:lang w:eastAsia="zh-CN"/>
        </w:rPr>
        <w:t xml:space="preserve">e produit de </w:t>
      </w:r>
      <w:r>
        <w:rPr>
          <w:rFonts w:eastAsia="SimSun" w:cs="Times New Roman"/>
          <w:bCs/>
          <w:i/>
          <w:sz w:val="24"/>
          <w:szCs w:val="24"/>
          <w:lang w:eastAsia="zh-CN"/>
        </w:rPr>
        <w:t>luxe fait le vide autour de lui</w:t>
      </w:r>
      <w:r w:rsidRPr="00A31130">
        <w:rPr>
          <w:rFonts w:eastAsia="SimSun" w:cs="Times New Roman"/>
          <w:bCs/>
          <w:i/>
          <w:sz w:val="24"/>
          <w:szCs w:val="24"/>
          <w:lang w:eastAsia="zh-CN"/>
        </w:rPr>
        <w:t>. Pour ces villes, une bonne desserte classique peut être plus intéressante qu’une mauvaise desserte TGV.</w:t>
      </w:r>
      <w:r w:rsidR="00A666FD">
        <w:rPr>
          <w:rStyle w:val="Appelnotedebasdep"/>
          <w:rFonts w:eastAsia="SimSun" w:cs="Times New Roman"/>
          <w:bCs/>
          <w:i/>
          <w:sz w:val="24"/>
          <w:szCs w:val="24"/>
          <w:lang w:eastAsia="zh-CN"/>
        </w:rPr>
        <w:footnoteReference w:id="9"/>
      </w:r>
      <w:r w:rsidRPr="00A31130">
        <w:rPr>
          <w:rFonts w:eastAsia="SimSun" w:cs="Times New Roman"/>
          <w:bCs/>
          <w:i/>
          <w:sz w:val="24"/>
          <w:szCs w:val="24"/>
          <w:lang w:eastAsia="zh-CN"/>
        </w:rPr>
        <w:t> »</w:t>
      </w:r>
    </w:p>
    <w:p w:rsidR="008235E1" w:rsidRDefault="00A666FD" w:rsidP="00A666FD">
      <w:pPr>
        <w:jc w:val="both"/>
        <w:rPr>
          <w:rFonts w:cs="Calibri"/>
          <w:sz w:val="24"/>
          <w:szCs w:val="24"/>
        </w:rPr>
      </w:pPr>
      <w:r w:rsidRPr="00A666FD">
        <w:rPr>
          <w:sz w:val="24"/>
          <w:szCs w:val="24"/>
        </w:rPr>
        <w:t xml:space="preserve">La viabilité économique </w:t>
      </w:r>
      <w:r w:rsidRPr="00A666FD">
        <w:rPr>
          <w:rFonts w:cs="Calibri"/>
          <w:bCs/>
          <w:sz w:val="24"/>
          <w:szCs w:val="24"/>
        </w:rPr>
        <w:t xml:space="preserve">des infrastructures ferroviaires à grande vitesse s’apprécie sur la référence établie par les universitaires prenant en compte </w:t>
      </w:r>
      <w:r w:rsidRPr="00A666FD">
        <w:rPr>
          <w:rFonts w:cs="Calibri"/>
          <w:sz w:val="24"/>
          <w:szCs w:val="24"/>
        </w:rPr>
        <w:t>la population résidant dans la zone d'attraction à 60 minutes de trajet des lignes</w:t>
      </w:r>
      <w:r w:rsidRPr="00A666FD">
        <w:rPr>
          <w:rFonts w:cs="Calibri"/>
          <w:bCs/>
          <w:sz w:val="24"/>
          <w:szCs w:val="24"/>
        </w:rPr>
        <w:t xml:space="preserve"> soit 9 millions de personnes.</w:t>
      </w:r>
      <w:r w:rsidRPr="00A666FD">
        <w:rPr>
          <w:rFonts w:cs="Calibri"/>
          <w:sz w:val="24"/>
          <w:szCs w:val="24"/>
        </w:rPr>
        <w:t xml:space="preserve"> Pour la ligne Bordeaux-Vitoria la population est de </w:t>
      </w:r>
      <w:proofErr w:type="spellStart"/>
      <w:r w:rsidRPr="00A666FD">
        <w:rPr>
          <w:rFonts w:cs="Calibri"/>
          <w:sz w:val="24"/>
          <w:szCs w:val="24"/>
        </w:rPr>
        <w:t>de</w:t>
      </w:r>
      <w:proofErr w:type="spellEnd"/>
      <w:r w:rsidRPr="00A666FD">
        <w:rPr>
          <w:rFonts w:cs="Calibri"/>
          <w:sz w:val="24"/>
          <w:szCs w:val="24"/>
        </w:rPr>
        <w:t xml:space="preserve"> 6,8 millions d’habitants</w:t>
      </w:r>
      <w:r w:rsidR="008235E1">
        <w:rPr>
          <w:rStyle w:val="Appelnotedebasdep"/>
          <w:rFonts w:cs="Calibri"/>
          <w:sz w:val="24"/>
          <w:szCs w:val="24"/>
        </w:rPr>
        <w:footnoteReference w:id="10"/>
      </w:r>
      <w:r w:rsidRPr="00A666FD">
        <w:rPr>
          <w:rFonts w:cs="Calibri"/>
          <w:sz w:val="24"/>
          <w:szCs w:val="24"/>
        </w:rPr>
        <w:t xml:space="preserve">. </w:t>
      </w:r>
    </w:p>
    <w:p w:rsidR="00A666FD" w:rsidRDefault="00A666FD" w:rsidP="008235E1">
      <w:pPr>
        <w:ind w:left="708"/>
        <w:jc w:val="both"/>
        <w:rPr>
          <w:rFonts w:cs="Calibri"/>
          <w:sz w:val="24"/>
          <w:szCs w:val="24"/>
        </w:rPr>
      </w:pPr>
      <w:r w:rsidRPr="00A666FD">
        <w:rPr>
          <w:rFonts w:cs="Calibri"/>
          <w:i/>
          <w:sz w:val="24"/>
          <w:szCs w:val="24"/>
        </w:rPr>
        <w:t>«</w:t>
      </w:r>
      <w:r w:rsidR="00BF334E">
        <w:rPr>
          <w:rFonts w:cs="Calibri"/>
          <w:i/>
          <w:sz w:val="24"/>
          <w:szCs w:val="24"/>
        </w:rPr>
        <w:t xml:space="preserve"> </w:t>
      </w:r>
      <w:r w:rsidRPr="00A666FD">
        <w:rPr>
          <w:rFonts w:cs="Calibri"/>
          <w:i/>
          <w:sz w:val="24"/>
          <w:szCs w:val="24"/>
        </w:rPr>
        <w:t>Insuffisante pour assurer la viabilité à long terme</w:t>
      </w:r>
      <w:r w:rsidR="008235E1">
        <w:rPr>
          <w:rStyle w:val="Appelnotedebasdep"/>
          <w:rFonts w:cs="Calibri"/>
          <w:i/>
          <w:sz w:val="24"/>
          <w:szCs w:val="24"/>
        </w:rPr>
        <w:footnoteReference w:id="11"/>
      </w:r>
      <w:r w:rsidRPr="00A666FD">
        <w:rPr>
          <w:rFonts w:cs="Calibri"/>
          <w:i/>
          <w:sz w:val="24"/>
          <w:szCs w:val="24"/>
        </w:rPr>
        <w:t> »</w:t>
      </w:r>
      <w:r>
        <w:rPr>
          <w:rFonts w:cs="Calibri"/>
          <w:sz w:val="24"/>
          <w:szCs w:val="24"/>
        </w:rPr>
        <w:t xml:space="preserve"> concluent les auditeurs de la Cour européenne des comptes</w:t>
      </w:r>
      <w:r w:rsidR="00BF334E">
        <w:rPr>
          <w:rFonts w:cs="Calibri"/>
          <w:sz w:val="24"/>
          <w:szCs w:val="24"/>
        </w:rPr>
        <w:t>.</w:t>
      </w:r>
    </w:p>
    <w:p w:rsidR="00BF334E" w:rsidRPr="00BF334E" w:rsidRDefault="00BF334E" w:rsidP="00BF334E">
      <w:pPr>
        <w:jc w:val="both"/>
        <w:rPr>
          <w:sz w:val="24"/>
          <w:szCs w:val="24"/>
        </w:rPr>
      </w:pPr>
      <w:r w:rsidRPr="00BF334E">
        <w:rPr>
          <w:rFonts w:cs="Calibri"/>
          <w:sz w:val="24"/>
          <w:szCs w:val="24"/>
        </w:rPr>
        <w:t xml:space="preserve">Faut-il rappeler </w:t>
      </w:r>
      <w:r>
        <w:rPr>
          <w:rFonts w:cs="Calibri"/>
          <w:sz w:val="24"/>
          <w:szCs w:val="24"/>
        </w:rPr>
        <w:t>le fiasco de l’exploitation de la LGV Perpignan-Figueras. L’opérateur ferroviaire et constructeur de la ligne</w:t>
      </w:r>
      <w:r w:rsidR="00C62AD6">
        <w:rPr>
          <w:rFonts w:cs="Calibri"/>
          <w:sz w:val="24"/>
          <w:szCs w:val="24"/>
        </w:rPr>
        <w:t>,</w:t>
      </w:r>
      <w:r>
        <w:rPr>
          <w:rFonts w:cs="Calibri"/>
          <w:sz w:val="24"/>
          <w:szCs w:val="24"/>
        </w:rPr>
        <w:t xml:space="preserve"> TP Ferro</w:t>
      </w:r>
      <w:r w:rsidR="00C62AD6">
        <w:rPr>
          <w:rFonts w:cs="Calibri"/>
          <w:sz w:val="24"/>
          <w:szCs w:val="24"/>
        </w:rPr>
        <w:t>,</w:t>
      </w:r>
      <w:r>
        <w:rPr>
          <w:rFonts w:cs="Calibri"/>
          <w:sz w:val="24"/>
          <w:szCs w:val="24"/>
        </w:rPr>
        <w:t xml:space="preserve"> a fait faillite </w:t>
      </w:r>
      <w:r w:rsidR="00D136C0">
        <w:rPr>
          <w:rFonts w:cs="Calibri"/>
          <w:sz w:val="24"/>
          <w:szCs w:val="24"/>
        </w:rPr>
        <w:t xml:space="preserve">après 4 ans d’exploitation « faute de trafic » : </w:t>
      </w:r>
      <w:r w:rsidR="00D136C0" w:rsidRPr="00D136C0">
        <w:rPr>
          <w:rFonts w:cs="Calibri"/>
          <w:sz w:val="24"/>
          <w:szCs w:val="24"/>
        </w:rPr>
        <w:t>12% du trafic voyageurs prévu et 7% du trafic fret prévu !</w:t>
      </w:r>
      <w:r w:rsidR="00D136C0">
        <w:rPr>
          <w:rFonts w:cs="Calibri"/>
          <w:sz w:val="24"/>
          <w:szCs w:val="24"/>
        </w:rPr>
        <w:t xml:space="preserve"> Pourtant l’interopérabilité à la frontière était assurée.</w:t>
      </w:r>
      <w:r>
        <w:rPr>
          <w:rFonts w:cs="Calibri"/>
          <w:sz w:val="24"/>
          <w:szCs w:val="24"/>
        </w:rPr>
        <w:t xml:space="preserve"> </w:t>
      </w:r>
    </w:p>
    <w:p w:rsidR="003A22A3" w:rsidRDefault="003A22A3" w:rsidP="00386B65">
      <w:pPr>
        <w:autoSpaceDE w:val="0"/>
        <w:autoSpaceDN w:val="0"/>
        <w:adjustRightInd w:val="0"/>
        <w:spacing w:after="0" w:line="240" w:lineRule="auto"/>
        <w:jc w:val="both"/>
        <w:rPr>
          <w:rFonts w:ascii="Calibri" w:hAnsi="Calibri" w:cs="Calibri"/>
          <w:bCs/>
          <w:sz w:val="24"/>
          <w:szCs w:val="24"/>
        </w:rPr>
      </w:pPr>
      <w:r w:rsidRPr="003A22A3">
        <w:rPr>
          <w:rFonts w:ascii="Calibri" w:hAnsi="Calibri" w:cs="Calibri"/>
          <w:bCs/>
          <w:sz w:val="24"/>
          <w:szCs w:val="24"/>
        </w:rPr>
        <w:t>Sans esprit polémique, nous reprenons quelques consta</w:t>
      </w:r>
      <w:r>
        <w:rPr>
          <w:rFonts w:ascii="Calibri" w:hAnsi="Calibri" w:cs="Calibri"/>
          <w:bCs/>
          <w:sz w:val="24"/>
          <w:szCs w:val="24"/>
        </w:rPr>
        <w:t>tations et les sévères reproches de la Cour européenne de</w:t>
      </w:r>
      <w:r w:rsidRPr="003A22A3">
        <w:rPr>
          <w:rFonts w:ascii="Calibri" w:hAnsi="Calibri" w:cs="Calibri"/>
          <w:bCs/>
          <w:sz w:val="24"/>
          <w:szCs w:val="24"/>
        </w:rPr>
        <w:t xml:space="preserve">s comptes </w:t>
      </w:r>
      <w:r>
        <w:rPr>
          <w:rFonts w:ascii="Calibri" w:hAnsi="Calibri" w:cs="Calibri"/>
          <w:bCs/>
          <w:sz w:val="24"/>
          <w:szCs w:val="24"/>
        </w:rPr>
        <w:t xml:space="preserve">à l’encontre de la Commission Européenne </w:t>
      </w:r>
      <w:r w:rsidRPr="003A22A3">
        <w:rPr>
          <w:rFonts w:ascii="Calibri" w:hAnsi="Calibri" w:cs="Calibri"/>
          <w:bCs/>
          <w:sz w:val="24"/>
          <w:szCs w:val="24"/>
        </w:rPr>
        <w:t>concernant les liaisons transfrontalières</w:t>
      </w:r>
      <w:r>
        <w:rPr>
          <w:rFonts w:ascii="Calibri" w:hAnsi="Calibri" w:cs="Calibri"/>
          <w:bCs/>
          <w:sz w:val="24"/>
          <w:szCs w:val="24"/>
        </w:rPr>
        <w:t>.</w:t>
      </w:r>
    </w:p>
    <w:p w:rsidR="00C62AD6" w:rsidRDefault="00C62AD6" w:rsidP="003A22A3">
      <w:pPr>
        <w:autoSpaceDE w:val="0"/>
        <w:autoSpaceDN w:val="0"/>
        <w:adjustRightInd w:val="0"/>
        <w:spacing w:after="0" w:line="240" w:lineRule="auto"/>
        <w:jc w:val="both"/>
        <w:rPr>
          <w:rFonts w:cs="Calibri"/>
          <w:bCs/>
          <w:sz w:val="24"/>
          <w:szCs w:val="24"/>
        </w:rPr>
      </w:pPr>
    </w:p>
    <w:p w:rsidR="008235E1" w:rsidRDefault="003A22A3" w:rsidP="003A22A3">
      <w:pPr>
        <w:autoSpaceDE w:val="0"/>
        <w:autoSpaceDN w:val="0"/>
        <w:adjustRightInd w:val="0"/>
        <w:spacing w:after="0" w:line="240" w:lineRule="auto"/>
        <w:jc w:val="both"/>
        <w:rPr>
          <w:rFonts w:cs="Calibri"/>
          <w:bCs/>
          <w:sz w:val="24"/>
          <w:szCs w:val="24"/>
        </w:rPr>
      </w:pPr>
      <w:r w:rsidRPr="003A22A3">
        <w:rPr>
          <w:rFonts w:cs="Calibri"/>
          <w:bCs/>
          <w:sz w:val="24"/>
          <w:szCs w:val="24"/>
        </w:rPr>
        <w:lastRenderedPageBreak/>
        <w:t>L’audit dénonce</w:t>
      </w:r>
      <w:r w:rsidR="008235E1">
        <w:rPr>
          <w:rFonts w:cs="Calibri"/>
          <w:bCs/>
          <w:sz w:val="24"/>
          <w:szCs w:val="24"/>
        </w:rPr>
        <w:t> :</w:t>
      </w:r>
    </w:p>
    <w:p w:rsidR="008235E1" w:rsidRDefault="008235E1" w:rsidP="003A22A3">
      <w:pPr>
        <w:autoSpaceDE w:val="0"/>
        <w:autoSpaceDN w:val="0"/>
        <w:adjustRightInd w:val="0"/>
        <w:spacing w:after="0" w:line="240" w:lineRule="auto"/>
        <w:jc w:val="both"/>
        <w:rPr>
          <w:rFonts w:cs="Calibri"/>
          <w:bCs/>
          <w:sz w:val="24"/>
          <w:szCs w:val="24"/>
        </w:rPr>
      </w:pPr>
    </w:p>
    <w:p w:rsidR="008235E1" w:rsidRDefault="003A22A3" w:rsidP="008235E1">
      <w:pPr>
        <w:autoSpaceDE w:val="0"/>
        <w:autoSpaceDN w:val="0"/>
        <w:adjustRightInd w:val="0"/>
        <w:spacing w:after="0" w:line="240" w:lineRule="auto"/>
        <w:ind w:left="708"/>
        <w:jc w:val="both"/>
        <w:rPr>
          <w:rFonts w:cs="Calibri"/>
          <w:bCs/>
          <w:i/>
          <w:sz w:val="24"/>
          <w:szCs w:val="24"/>
        </w:rPr>
      </w:pPr>
      <w:proofErr w:type="gramStart"/>
      <w:r w:rsidRPr="003A22A3">
        <w:rPr>
          <w:rFonts w:cs="Calibri"/>
          <w:bCs/>
          <w:sz w:val="24"/>
          <w:szCs w:val="24"/>
        </w:rPr>
        <w:t>des</w:t>
      </w:r>
      <w:proofErr w:type="gramEnd"/>
      <w:r w:rsidRPr="003A22A3">
        <w:rPr>
          <w:rFonts w:cs="Calibri"/>
          <w:bCs/>
          <w:sz w:val="24"/>
          <w:szCs w:val="24"/>
        </w:rPr>
        <w:t xml:space="preserve"> </w:t>
      </w:r>
      <w:r w:rsidRPr="003A22A3">
        <w:rPr>
          <w:rFonts w:cs="Calibri"/>
          <w:bCs/>
          <w:i/>
          <w:sz w:val="24"/>
          <w:szCs w:val="24"/>
        </w:rPr>
        <w:t xml:space="preserve">« prévisions de trafic qui risquent d'être trop optimistes » </w:t>
      </w:r>
      <w:r w:rsidRPr="003A22A3">
        <w:rPr>
          <w:rFonts w:cs="Calibri"/>
          <w:bCs/>
          <w:sz w:val="24"/>
          <w:szCs w:val="24"/>
        </w:rPr>
        <w:t xml:space="preserve">qui </w:t>
      </w:r>
      <w:r w:rsidRPr="003A22A3">
        <w:rPr>
          <w:rFonts w:cs="Calibri"/>
          <w:bCs/>
          <w:i/>
          <w:sz w:val="24"/>
          <w:szCs w:val="24"/>
        </w:rPr>
        <w:t xml:space="preserve">« n'ont pas fait l'objet d'une coordination entre toutes les entités au- delà des frontières » </w:t>
      </w:r>
      <w:r w:rsidRPr="003A22A3">
        <w:rPr>
          <w:rFonts w:cs="Calibri"/>
          <w:bCs/>
          <w:sz w:val="24"/>
          <w:szCs w:val="24"/>
        </w:rPr>
        <w:t xml:space="preserve">et </w:t>
      </w:r>
      <w:r w:rsidRPr="003A22A3">
        <w:rPr>
          <w:rFonts w:cs="Calibri"/>
          <w:bCs/>
          <w:i/>
          <w:sz w:val="24"/>
          <w:szCs w:val="24"/>
        </w:rPr>
        <w:t xml:space="preserve">« ne sont pas fondées sur des évaluations économiques rigoureuses ». </w:t>
      </w:r>
    </w:p>
    <w:p w:rsidR="008235E1" w:rsidRDefault="008235E1" w:rsidP="003A22A3">
      <w:pPr>
        <w:autoSpaceDE w:val="0"/>
        <w:autoSpaceDN w:val="0"/>
        <w:adjustRightInd w:val="0"/>
        <w:spacing w:after="0" w:line="240" w:lineRule="auto"/>
        <w:jc w:val="both"/>
        <w:rPr>
          <w:rFonts w:cs="Calibri"/>
          <w:bCs/>
          <w:i/>
          <w:sz w:val="24"/>
          <w:szCs w:val="24"/>
        </w:rPr>
      </w:pPr>
    </w:p>
    <w:p w:rsidR="008235E1" w:rsidRDefault="003A22A3" w:rsidP="003A22A3">
      <w:pPr>
        <w:autoSpaceDE w:val="0"/>
        <w:autoSpaceDN w:val="0"/>
        <w:adjustRightInd w:val="0"/>
        <w:spacing w:after="0" w:line="240" w:lineRule="auto"/>
        <w:jc w:val="both"/>
        <w:rPr>
          <w:rFonts w:cs="Calibri"/>
          <w:bCs/>
          <w:sz w:val="24"/>
          <w:szCs w:val="24"/>
        </w:rPr>
      </w:pPr>
      <w:r w:rsidRPr="003A22A3">
        <w:rPr>
          <w:rFonts w:cs="Calibri"/>
          <w:bCs/>
          <w:sz w:val="24"/>
          <w:szCs w:val="24"/>
        </w:rPr>
        <w:t>Les rédacteurs constatent, comme le CADE, que</w:t>
      </w:r>
      <w:r w:rsidR="008235E1">
        <w:rPr>
          <w:rFonts w:cs="Calibri"/>
          <w:bCs/>
          <w:sz w:val="24"/>
          <w:szCs w:val="24"/>
        </w:rPr>
        <w:t> :</w:t>
      </w:r>
    </w:p>
    <w:p w:rsidR="008235E1" w:rsidRDefault="008235E1" w:rsidP="003A22A3">
      <w:pPr>
        <w:autoSpaceDE w:val="0"/>
        <w:autoSpaceDN w:val="0"/>
        <w:adjustRightInd w:val="0"/>
        <w:spacing w:after="0" w:line="240" w:lineRule="auto"/>
        <w:jc w:val="both"/>
        <w:rPr>
          <w:rFonts w:cs="Calibri"/>
          <w:bCs/>
          <w:sz w:val="24"/>
          <w:szCs w:val="24"/>
        </w:rPr>
      </w:pPr>
    </w:p>
    <w:p w:rsidR="008235E1" w:rsidRDefault="003A22A3" w:rsidP="008235E1">
      <w:pPr>
        <w:autoSpaceDE w:val="0"/>
        <w:autoSpaceDN w:val="0"/>
        <w:adjustRightInd w:val="0"/>
        <w:spacing w:after="0" w:line="240" w:lineRule="auto"/>
        <w:ind w:left="708"/>
        <w:jc w:val="both"/>
        <w:rPr>
          <w:rFonts w:cs="Calibri"/>
          <w:bCs/>
          <w:i/>
          <w:sz w:val="24"/>
          <w:szCs w:val="24"/>
        </w:rPr>
      </w:pPr>
      <w:r w:rsidRPr="003A22A3">
        <w:rPr>
          <w:rFonts w:cs="Calibri"/>
          <w:bCs/>
          <w:i/>
          <w:sz w:val="24"/>
          <w:szCs w:val="24"/>
        </w:rPr>
        <w:t>« </w:t>
      </w:r>
      <w:proofErr w:type="gramStart"/>
      <w:r w:rsidRPr="003A22A3">
        <w:rPr>
          <w:rFonts w:cs="Calibri"/>
          <w:bCs/>
          <w:i/>
          <w:sz w:val="24"/>
          <w:szCs w:val="24"/>
        </w:rPr>
        <w:t>les</w:t>
      </w:r>
      <w:proofErr w:type="gramEnd"/>
      <w:r w:rsidRPr="003A22A3">
        <w:rPr>
          <w:rFonts w:cs="Calibri"/>
          <w:bCs/>
          <w:i/>
          <w:sz w:val="24"/>
          <w:szCs w:val="24"/>
        </w:rPr>
        <w:t xml:space="preserve"> anciennes projections de trafic de fret sont très supérieures aux volumes de trafic actuels ». </w:t>
      </w:r>
      <w:r w:rsidRPr="003A22A3">
        <w:rPr>
          <w:rFonts w:cs="Calibri"/>
          <w:bCs/>
          <w:sz w:val="24"/>
          <w:szCs w:val="24"/>
        </w:rPr>
        <w:t xml:space="preserve">Ils soulignent que </w:t>
      </w:r>
      <w:r w:rsidRPr="003A22A3">
        <w:rPr>
          <w:rFonts w:cs="Calibri"/>
          <w:bCs/>
          <w:i/>
          <w:sz w:val="24"/>
          <w:szCs w:val="24"/>
        </w:rPr>
        <w:t xml:space="preserve">« la Commission n'a pas réalisé ses propres analyses des besoins, indépendamment des évaluations effectuées par les États membres, avant d'engager des cofinancements ». </w:t>
      </w:r>
    </w:p>
    <w:p w:rsidR="008235E1" w:rsidRDefault="008235E1" w:rsidP="003A22A3">
      <w:pPr>
        <w:autoSpaceDE w:val="0"/>
        <w:autoSpaceDN w:val="0"/>
        <w:adjustRightInd w:val="0"/>
        <w:spacing w:after="0" w:line="240" w:lineRule="auto"/>
        <w:jc w:val="both"/>
        <w:rPr>
          <w:rFonts w:cs="Calibri"/>
          <w:bCs/>
          <w:i/>
          <w:sz w:val="24"/>
          <w:szCs w:val="24"/>
        </w:rPr>
      </w:pPr>
    </w:p>
    <w:p w:rsidR="008235E1" w:rsidRDefault="003A22A3" w:rsidP="003A22A3">
      <w:pPr>
        <w:autoSpaceDE w:val="0"/>
        <w:autoSpaceDN w:val="0"/>
        <w:adjustRightInd w:val="0"/>
        <w:spacing w:after="0" w:line="240" w:lineRule="auto"/>
        <w:jc w:val="both"/>
        <w:rPr>
          <w:rFonts w:cs="Calibri"/>
          <w:sz w:val="24"/>
          <w:szCs w:val="24"/>
        </w:rPr>
      </w:pPr>
      <w:r w:rsidRPr="003A22A3">
        <w:rPr>
          <w:rFonts w:cs="Calibri"/>
          <w:sz w:val="24"/>
          <w:szCs w:val="24"/>
        </w:rPr>
        <w:t xml:space="preserve">Dans le cas de l'Y basque et de son prolongement vers la France, ils rappellent que : </w:t>
      </w:r>
    </w:p>
    <w:p w:rsidR="008235E1" w:rsidRDefault="008235E1" w:rsidP="003A22A3">
      <w:pPr>
        <w:autoSpaceDE w:val="0"/>
        <w:autoSpaceDN w:val="0"/>
        <w:adjustRightInd w:val="0"/>
        <w:spacing w:after="0" w:line="240" w:lineRule="auto"/>
        <w:jc w:val="both"/>
        <w:rPr>
          <w:rFonts w:cs="Calibri"/>
          <w:sz w:val="24"/>
          <w:szCs w:val="24"/>
        </w:rPr>
      </w:pPr>
    </w:p>
    <w:p w:rsidR="008235E1" w:rsidRDefault="003A22A3" w:rsidP="008235E1">
      <w:pPr>
        <w:autoSpaceDE w:val="0"/>
        <w:autoSpaceDN w:val="0"/>
        <w:adjustRightInd w:val="0"/>
        <w:spacing w:after="0" w:line="240" w:lineRule="auto"/>
        <w:ind w:left="708"/>
        <w:jc w:val="both"/>
        <w:rPr>
          <w:rFonts w:cs="Calibri"/>
          <w:sz w:val="24"/>
          <w:szCs w:val="24"/>
        </w:rPr>
      </w:pPr>
      <w:r w:rsidRPr="003A22A3">
        <w:rPr>
          <w:rFonts w:cs="Calibri"/>
          <w:i/>
          <w:sz w:val="24"/>
          <w:szCs w:val="24"/>
        </w:rPr>
        <w:t>« </w:t>
      </w:r>
      <w:proofErr w:type="gramStart"/>
      <w:r w:rsidRPr="003A22A3">
        <w:rPr>
          <w:rFonts w:cs="Calibri"/>
          <w:i/>
          <w:sz w:val="24"/>
          <w:szCs w:val="24"/>
        </w:rPr>
        <w:t>les</w:t>
      </w:r>
      <w:proofErr w:type="gramEnd"/>
      <w:r w:rsidRPr="003A22A3">
        <w:rPr>
          <w:rFonts w:cs="Calibri"/>
          <w:i/>
          <w:sz w:val="24"/>
          <w:szCs w:val="24"/>
        </w:rPr>
        <w:t xml:space="preserve"> prévisions du trafic et les données sur la viabilité ont été remises en cause à plusieurs reprises par des universitaires du Pays Basque depuis 2004. Même si les documents avaient été rendus publics, les autorités centrales et régionales n'ont pas tenu compte des arguments des universitaires en question et n'y ont pas répondu. »</w:t>
      </w:r>
      <w:r w:rsidRPr="003A22A3">
        <w:rPr>
          <w:rFonts w:cs="Calibri"/>
          <w:sz w:val="24"/>
          <w:szCs w:val="24"/>
        </w:rPr>
        <w:t xml:space="preserve"> </w:t>
      </w:r>
    </w:p>
    <w:p w:rsidR="008235E1" w:rsidRDefault="008235E1" w:rsidP="003A22A3">
      <w:pPr>
        <w:autoSpaceDE w:val="0"/>
        <w:autoSpaceDN w:val="0"/>
        <w:adjustRightInd w:val="0"/>
        <w:spacing w:after="0" w:line="240" w:lineRule="auto"/>
        <w:jc w:val="both"/>
        <w:rPr>
          <w:rFonts w:cs="Calibri"/>
          <w:sz w:val="24"/>
          <w:szCs w:val="24"/>
        </w:rPr>
      </w:pPr>
    </w:p>
    <w:p w:rsidR="008235E1" w:rsidRDefault="003A22A3" w:rsidP="003A22A3">
      <w:pPr>
        <w:autoSpaceDE w:val="0"/>
        <w:autoSpaceDN w:val="0"/>
        <w:adjustRightInd w:val="0"/>
        <w:spacing w:after="0" w:line="240" w:lineRule="auto"/>
        <w:jc w:val="both"/>
        <w:rPr>
          <w:rFonts w:cs="Calibri"/>
          <w:bCs/>
          <w:sz w:val="24"/>
          <w:szCs w:val="24"/>
        </w:rPr>
      </w:pPr>
      <w:r w:rsidRPr="003A22A3">
        <w:rPr>
          <w:rFonts w:cs="Calibri"/>
          <w:bCs/>
          <w:sz w:val="24"/>
          <w:szCs w:val="24"/>
        </w:rPr>
        <w:t xml:space="preserve">Les auditeurs jugent sans complaisance l’analyse coûts-avantages : </w:t>
      </w:r>
    </w:p>
    <w:p w:rsidR="008235E1" w:rsidRDefault="008235E1" w:rsidP="003A22A3">
      <w:pPr>
        <w:autoSpaceDE w:val="0"/>
        <w:autoSpaceDN w:val="0"/>
        <w:adjustRightInd w:val="0"/>
        <w:spacing w:after="0" w:line="240" w:lineRule="auto"/>
        <w:jc w:val="both"/>
        <w:rPr>
          <w:rFonts w:cs="Calibri"/>
          <w:bCs/>
          <w:sz w:val="24"/>
          <w:szCs w:val="24"/>
        </w:rPr>
      </w:pPr>
    </w:p>
    <w:p w:rsidR="003A22A3" w:rsidRPr="008235E1" w:rsidRDefault="003A22A3" w:rsidP="008235E1">
      <w:pPr>
        <w:autoSpaceDE w:val="0"/>
        <w:autoSpaceDN w:val="0"/>
        <w:adjustRightInd w:val="0"/>
        <w:spacing w:after="0" w:line="240" w:lineRule="auto"/>
        <w:ind w:left="708"/>
        <w:jc w:val="both"/>
        <w:rPr>
          <w:rFonts w:cs="Calibri"/>
          <w:bCs/>
          <w:i/>
          <w:sz w:val="24"/>
          <w:szCs w:val="24"/>
        </w:rPr>
      </w:pPr>
      <w:r w:rsidRPr="008235E1">
        <w:rPr>
          <w:rFonts w:cs="Calibri"/>
          <w:bCs/>
          <w:i/>
          <w:sz w:val="24"/>
          <w:szCs w:val="24"/>
        </w:rPr>
        <w:t xml:space="preserve">« Nous avons établi que les analyses coûts-avantages n'avaient été utilisées correctement comme outil de prise de décision pour aucune d'entre elles » </w:t>
      </w:r>
      <w:r w:rsidRPr="008235E1">
        <w:rPr>
          <w:rFonts w:cs="Calibri"/>
          <w:bCs/>
          <w:sz w:val="24"/>
          <w:szCs w:val="24"/>
        </w:rPr>
        <w:t>et regrettent</w:t>
      </w:r>
      <w:r w:rsidRPr="008235E1">
        <w:rPr>
          <w:rFonts w:cs="Calibri"/>
          <w:bCs/>
          <w:i/>
          <w:sz w:val="24"/>
          <w:szCs w:val="24"/>
        </w:rPr>
        <w:t xml:space="preserve"> </w:t>
      </w:r>
      <w:r w:rsidRPr="008235E1">
        <w:rPr>
          <w:rFonts w:cs="Calibri"/>
          <w:bCs/>
          <w:sz w:val="24"/>
          <w:szCs w:val="24"/>
        </w:rPr>
        <w:t>que</w:t>
      </w:r>
      <w:r w:rsidRPr="008235E1">
        <w:rPr>
          <w:rFonts w:cs="Calibri"/>
          <w:bCs/>
          <w:i/>
          <w:sz w:val="24"/>
          <w:szCs w:val="24"/>
        </w:rPr>
        <w:t xml:space="preserve"> « la Commission n'a pas exigé de prévisions communes du trafic au niveau des infrastructures de transport phares prises chacune dans son ensemble. En outre, elle ne collecte pas en permanence des données sur le trafic. Elle n'a effectué sa propre analyse approfondie des hypothèses du promoteur du projet, indépendamment des évaluations des États membres »</w:t>
      </w:r>
    </w:p>
    <w:p w:rsidR="003A22A3" w:rsidRDefault="003A22A3" w:rsidP="00386B65">
      <w:pPr>
        <w:autoSpaceDE w:val="0"/>
        <w:autoSpaceDN w:val="0"/>
        <w:adjustRightInd w:val="0"/>
        <w:spacing w:after="0" w:line="240" w:lineRule="auto"/>
        <w:jc w:val="both"/>
        <w:rPr>
          <w:rFonts w:ascii="Calibri" w:hAnsi="Calibri" w:cs="Calibri"/>
          <w:bCs/>
          <w:sz w:val="24"/>
          <w:szCs w:val="24"/>
        </w:rPr>
      </w:pPr>
    </w:p>
    <w:p w:rsidR="00C62AD6" w:rsidRDefault="00273473" w:rsidP="00AA7A65">
      <w:pPr>
        <w:autoSpaceDE w:val="0"/>
        <w:autoSpaceDN w:val="0"/>
        <w:adjustRightInd w:val="0"/>
        <w:spacing w:after="0" w:line="240" w:lineRule="auto"/>
        <w:jc w:val="both"/>
        <w:rPr>
          <w:rFonts w:ascii="Calibri" w:hAnsi="Calibri" w:cs="Calibri"/>
          <w:bCs/>
          <w:sz w:val="24"/>
          <w:szCs w:val="24"/>
        </w:rPr>
      </w:pPr>
      <w:r>
        <w:rPr>
          <w:rFonts w:ascii="Calibri" w:hAnsi="Calibri" w:cs="Calibri"/>
          <w:bCs/>
          <w:sz w:val="24"/>
          <w:szCs w:val="24"/>
        </w:rPr>
        <w:t xml:space="preserve">L’Europe devrait </w:t>
      </w:r>
      <w:r w:rsidR="00AA7A65">
        <w:rPr>
          <w:rFonts w:ascii="Calibri" w:hAnsi="Calibri" w:cs="Calibri"/>
          <w:bCs/>
          <w:sz w:val="24"/>
          <w:szCs w:val="24"/>
        </w:rPr>
        <w:t>revoir</w:t>
      </w:r>
      <w:r>
        <w:rPr>
          <w:rFonts w:ascii="Calibri" w:hAnsi="Calibri" w:cs="Calibri"/>
          <w:bCs/>
          <w:sz w:val="24"/>
          <w:szCs w:val="24"/>
        </w:rPr>
        <w:t xml:space="preserve"> sa politique </w:t>
      </w:r>
      <w:r w:rsidR="00AA7A65">
        <w:rPr>
          <w:rFonts w:ascii="Calibri" w:hAnsi="Calibri" w:cs="Calibri"/>
          <w:bCs/>
          <w:sz w:val="24"/>
          <w:szCs w:val="24"/>
        </w:rPr>
        <w:t>d’aide au développement du ferroviaire en subventionnant la rénovation du réseau existant pour</w:t>
      </w:r>
      <w:r w:rsidR="00FB52DE">
        <w:rPr>
          <w:rFonts w:ascii="Calibri" w:hAnsi="Calibri" w:cs="Calibri"/>
          <w:bCs/>
          <w:sz w:val="24"/>
          <w:szCs w:val="24"/>
        </w:rPr>
        <w:t xml:space="preserve"> augmenter la fréquentation des « trains du quotidien » et favoriser ainsi  le repor</w:t>
      </w:r>
      <w:r w:rsidR="00D03A7D">
        <w:rPr>
          <w:rFonts w:ascii="Calibri" w:hAnsi="Calibri" w:cs="Calibri"/>
          <w:bCs/>
          <w:sz w:val="24"/>
          <w:szCs w:val="24"/>
        </w:rPr>
        <w:t xml:space="preserve">t modal de la route vers le fer avec une efficacité bien supérieure. En effet de très nombreux habitants sont tenus à l’écart du réseau ferroviaire par l’abandon </w:t>
      </w:r>
      <w:r w:rsidR="00C62AD6">
        <w:rPr>
          <w:rFonts w:ascii="Calibri" w:hAnsi="Calibri" w:cs="Calibri"/>
          <w:bCs/>
          <w:sz w:val="24"/>
          <w:szCs w:val="24"/>
        </w:rPr>
        <w:t>de nombreuses</w:t>
      </w:r>
      <w:r w:rsidR="00D03A7D">
        <w:rPr>
          <w:rFonts w:ascii="Calibri" w:hAnsi="Calibri" w:cs="Calibri"/>
          <w:bCs/>
          <w:sz w:val="24"/>
          <w:szCs w:val="24"/>
        </w:rPr>
        <w:t xml:space="preserve"> lignes et n’ont plus comme moyen de mobilité que la voiture. </w:t>
      </w:r>
    </w:p>
    <w:p w:rsidR="00AA7A65" w:rsidRDefault="00D03A7D" w:rsidP="00AA7A65">
      <w:pPr>
        <w:autoSpaceDE w:val="0"/>
        <w:autoSpaceDN w:val="0"/>
        <w:adjustRightInd w:val="0"/>
        <w:spacing w:after="0" w:line="240" w:lineRule="auto"/>
        <w:jc w:val="both"/>
        <w:rPr>
          <w:rFonts w:ascii="Calibri" w:hAnsi="Calibri" w:cs="Calibri"/>
          <w:bCs/>
          <w:sz w:val="24"/>
          <w:szCs w:val="24"/>
        </w:rPr>
      </w:pPr>
      <w:r>
        <w:rPr>
          <w:rFonts w:ascii="Calibri" w:hAnsi="Calibri" w:cs="Calibri"/>
          <w:bCs/>
          <w:sz w:val="24"/>
          <w:szCs w:val="24"/>
        </w:rPr>
        <w:t>Avant le COVID, fin 2017, l’</w:t>
      </w:r>
      <w:r w:rsidRPr="00D03A7D">
        <w:rPr>
          <w:rFonts w:ascii="Calibri" w:hAnsi="Calibri" w:cs="Calibri"/>
          <w:bCs/>
          <w:sz w:val="24"/>
          <w:szCs w:val="24"/>
        </w:rPr>
        <w:t>Autorité de régulation des activités ferroviaires et routières</w:t>
      </w:r>
      <w:r>
        <w:rPr>
          <w:rFonts w:ascii="Calibri" w:hAnsi="Calibri" w:cs="Calibri"/>
          <w:bCs/>
          <w:sz w:val="24"/>
          <w:szCs w:val="24"/>
        </w:rPr>
        <w:t xml:space="preserve"> (ARAFER) publiait un bilan </w:t>
      </w:r>
      <w:r w:rsidRPr="00D03A7D">
        <w:rPr>
          <w:rFonts w:ascii="Calibri" w:hAnsi="Calibri" w:cs="Calibri"/>
          <w:bCs/>
          <w:sz w:val="24"/>
          <w:szCs w:val="24"/>
        </w:rPr>
        <w:t>du transport ferroviaire de voyageurs</w:t>
      </w:r>
      <w:r>
        <w:rPr>
          <w:rFonts w:ascii="Calibri" w:hAnsi="Calibri" w:cs="Calibri"/>
          <w:bCs/>
          <w:sz w:val="24"/>
          <w:szCs w:val="24"/>
        </w:rPr>
        <w:t xml:space="preserve"> pour 2016. </w:t>
      </w:r>
      <w:r w:rsidRPr="00D03A7D">
        <w:rPr>
          <w:rFonts w:ascii="Calibri" w:hAnsi="Calibri" w:cs="Calibri"/>
          <w:bCs/>
          <w:sz w:val="24"/>
          <w:szCs w:val="24"/>
        </w:rPr>
        <w:t>Sur 1,16 milliard de passagers transportés en train, 1 milliard ont fait du rail un outil de déplacement du quotidien (dont</w:t>
      </w:r>
      <w:r>
        <w:rPr>
          <w:rFonts w:ascii="Calibri" w:hAnsi="Calibri" w:cs="Calibri"/>
          <w:bCs/>
          <w:sz w:val="24"/>
          <w:szCs w:val="24"/>
        </w:rPr>
        <w:t xml:space="preserve"> 860 millions en Ile-de-France). Ainsi 9 voyageurs sur 10 utilisent </w:t>
      </w:r>
      <w:r w:rsidRPr="00D03A7D">
        <w:rPr>
          <w:rFonts w:ascii="Calibri" w:hAnsi="Calibri" w:cs="Calibri"/>
          <w:bCs/>
          <w:sz w:val="24"/>
          <w:szCs w:val="24"/>
        </w:rPr>
        <w:t>le train pour un déplacement de proximité (trains régionaux, trains de banlieue ou RER)</w:t>
      </w:r>
      <w:r w:rsidR="008A5096">
        <w:rPr>
          <w:rFonts w:ascii="Calibri" w:hAnsi="Calibri" w:cs="Calibri"/>
          <w:bCs/>
          <w:sz w:val="24"/>
          <w:szCs w:val="24"/>
        </w:rPr>
        <w:t>. Parallèlement</w:t>
      </w:r>
      <w:r w:rsidR="008A5096" w:rsidRPr="008A5096">
        <w:rPr>
          <w:rFonts w:ascii="Calibri" w:hAnsi="Calibri" w:cs="Calibri"/>
          <w:bCs/>
          <w:sz w:val="24"/>
          <w:szCs w:val="24"/>
        </w:rPr>
        <w:t xml:space="preserve"> le TGV ne représente que 26 % des circulations et </w:t>
      </w:r>
      <w:r w:rsidR="00BB6894">
        <w:rPr>
          <w:rFonts w:ascii="Calibri" w:hAnsi="Calibri" w:cs="Calibri"/>
          <w:bCs/>
          <w:sz w:val="24"/>
          <w:szCs w:val="24"/>
        </w:rPr>
        <w:t xml:space="preserve">seulement </w:t>
      </w:r>
      <w:r w:rsidR="008A5096" w:rsidRPr="008A5096">
        <w:rPr>
          <w:rFonts w:ascii="Calibri" w:hAnsi="Calibri" w:cs="Calibri"/>
          <w:bCs/>
          <w:sz w:val="24"/>
          <w:szCs w:val="24"/>
        </w:rPr>
        <w:t>8 % des passagers transportés</w:t>
      </w:r>
      <w:r w:rsidR="008A5096">
        <w:rPr>
          <w:rFonts w:ascii="Calibri" w:hAnsi="Calibri" w:cs="Calibri"/>
          <w:bCs/>
          <w:sz w:val="24"/>
          <w:szCs w:val="24"/>
        </w:rPr>
        <w:t xml:space="preserve">. </w:t>
      </w:r>
    </w:p>
    <w:p w:rsidR="008A5096" w:rsidRDefault="008A5096" w:rsidP="00AA7A65">
      <w:pPr>
        <w:autoSpaceDE w:val="0"/>
        <w:autoSpaceDN w:val="0"/>
        <w:adjustRightInd w:val="0"/>
        <w:spacing w:after="0" w:line="240" w:lineRule="auto"/>
        <w:jc w:val="both"/>
        <w:rPr>
          <w:rFonts w:ascii="Calibri" w:hAnsi="Calibri" w:cs="Calibri"/>
          <w:bCs/>
          <w:sz w:val="24"/>
          <w:szCs w:val="24"/>
        </w:rPr>
      </w:pPr>
    </w:p>
    <w:p w:rsidR="00273473" w:rsidRDefault="008A5096" w:rsidP="00876F01">
      <w:pPr>
        <w:autoSpaceDE w:val="0"/>
        <w:autoSpaceDN w:val="0"/>
        <w:adjustRightInd w:val="0"/>
        <w:spacing w:after="0" w:line="240" w:lineRule="auto"/>
        <w:jc w:val="both"/>
        <w:rPr>
          <w:sz w:val="24"/>
          <w:szCs w:val="24"/>
        </w:rPr>
      </w:pPr>
      <w:r>
        <w:rPr>
          <w:rFonts w:ascii="Calibri" w:hAnsi="Calibri" w:cs="Calibri"/>
          <w:bCs/>
          <w:sz w:val="24"/>
          <w:szCs w:val="24"/>
        </w:rPr>
        <w:t xml:space="preserve">Le réseau ferré français est vétuste, </w:t>
      </w:r>
      <w:r w:rsidRPr="008A5096">
        <w:rPr>
          <w:rFonts w:ascii="Calibri" w:hAnsi="Calibri" w:cs="Calibri"/>
          <w:bCs/>
          <w:sz w:val="24"/>
          <w:szCs w:val="24"/>
        </w:rPr>
        <w:t>l’âge m</w:t>
      </w:r>
      <w:r>
        <w:rPr>
          <w:rFonts w:ascii="Calibri" w:hAnsi="Calibri" w:cs="Calibri"/>
          <w:bCs/>
          <w:sz w:val="24"/>
          <w:szCs w:val="24"/>
        </w:rPr>
        <w:t>oyen se situe autour de 30 ans, d</w:t>
      </w:r>
      <w:r w:rsidRPr="008A5096">
        <w:rPr>
          <w:rFonts w:ascii="Calibri" w:hAnsi="Calibri" w:cs="Calibri"/>
          <w:bCs/>
          <w:sz w:val="24"/>
          <w:szCs w:val="24"/>
        </w:rPr>
        <w:t>eux fois plus qu’en Allemagne.</w:t>
      </w:r>
      <w:r>
        <w:rPr>
          <w:rFonts w:ascii="Calibri" w:hAnsi="Calibri" w:cs="Calibri"/>
          <w:bCs/>
          <w:sz w:val="24"/>
          <w:szCs w:val="24"/>
        </w:rPr>
        <w:t xml:space="preserve"> En 2019</w:t>
      </w:r>
      <w:r w:rsidR="00C62AD6">
        <w:rPr>
          <w:rFonts w:ascii="Calibri" w:hAnsi="Calibri" w:cs="Calibri"/>
          <w:bCs/>
          <w:sz w:val="24"/>
          <w:szCs w:val="24"/>
        </w:rPr>
        <w:t>,</w:t>
      </w:r>
      <w:r>
        <w:rPr>
          <w:rFonts w:ascii="Calibri" w:hAnsi="Calibri" w:cs="Calibri"/>
          <w:bCs/>
          <w:sz w:val="24"/>
          <w:szCs w:val="24"/>
        </w:rPr>
        <w:t xml:space="preserve"> (source ARAFER) </w:t>
      </w:r>
      <w:r w:rsidRPr="008A5096">
        <w:rPr>
          <w:rFonts w:ascii="Calibri" w:hAnsi="Calibri" w:cs="Calibri"/>
          <w:bCs/>
          <w:sz w:val="24"/>
          <w:szCs w:val="24"/>
        </w:rPr>
        <w:t xml:space="preserve">66 % </w:t>
      </w:r>
      <w:r>
        <w:rPr>
          <w:rFonts w:ascii="Calibri" w:hAnsi="Calibri" w:cs="Calibri"/>
          <w:bCs/>
          <w:sz w:val="24"/>
          <w:szCs w:val="24"/>
        </w:rPr>
        <w:t xml:space="preserve">du réseau, </w:t>
      </w:r>
      <w:r w:rsidRPr="008A5096">
        <w:rPr>
          <w:rFonts w:ascii="Calibri" w:hAnsi="Calibri" w:cs="Calibri"/>
          <w:bCs/>
          <w:sz w:val="24"/>
          <w:szCs w:val="24"/>
        </w:rPr>
        <w:t>hors LGV</w:t>
      </w:r>
      <w:r>
        <w:rPr>
          <w:rFonts w:ascii="Calibri" w:hAnsi="Calibri" w:cs="Calibri"/>
          <w:bCs/>
          <w:sz w:val="24"/>
          <w:szCs w:val="24"/>
        </w:rPr>
        <w:t xml:space="preserve">, est électrifié, </w:t>
      </w:r>
      <w:r w:rsidRPr="008A5096">
        <w:rPr>
          <w:rFonts w:ascii="Calibri" w:hAnsi="Calibri" w:cs="Calibri"/>
          <w:bCs/>
          <w:sz w:val="24"/>
          <w:szCs w:val="24"/>
        </w:rPr>
        <w:t xml:space="preserve">17 % des trains.km parcourus sur le </w:t>
      </w:r>
      <w:r>
        <w:rPr>
          <w:rFonts w:ascii="Calibri" w:hAnsi="Calibri" w:cs="Calibri"/>
          <w:bCs/>
          <w:sz w:val="24"/>
          <w:szCs w:val="24"/>
        </w:rPr>
        <w:t>réseau national</w:t>
      </w:r>
      <w:r w:rsidRPr="008A5096">
        <w:rPr>
          <w:rFonts w:ascii="Calibri" w:hAnsi="Calibri" w:cs="Calibri"/>
          <w:bCs/>
          <w:sz w:val="24"/>
          <w:szCs w:val="24"/>
        </w:rPr>
        <w:t xml:space="preserve"> sont effectués par traction thermique.</w:t>
      </w:r>
      <w:r>
        <w:rPr>
          <w:rFonts w:ascii="Calibri" w:hAnsi="Calibri" w:cs="Calibri"/>
          <w:bCs/>
          <w:sz w:val="24"/>
          <w:szCs w:val="24"/>
        </w:rPr>
        <w:t xml:space="preserve"> Les investissements dans le ferroviaire ont été réalisés au profit du </w:t>
      </w:r>
      <w:r>
        <w:rPr>
          <w:sz w:val="24"/>
          <w:szCs w:val="24"/>
        </w:rPr>
        <w:t xml:space="preserve">« tout </w:t>
      </w:r>
      <w:r w:rsidR="00BB6894">
        <w:rPr>
          <w:sz w:val="24"/>
          <w:szCs w:val="24"/>
        </w:rPr>
        <w:t>T</w:t>
      </w:r>
      <w:r>
        <w:rPr>
          <w:sz w:val="24"/>
          <w:szCs w:val="24"/>
        </w:rPr>
        <w:t xml:space="preserve">GV » laissant </w:t>
      </w:r>
      <w:r w:rsidR="008F1135">
        <w:rPr>
          <w:sz w:val="24"/>
          <w:szCs w:val="24"/>
        </w:rPr>
        <w:t xml:space="preserve">ainsi </w:t>
      </w:r>
      <w:r>
        <w:rPr>
          <w:sz w:val="24"/>
          <w:szCs w:val="24"/>
        </w:rPr>
        <w:t>le réseau conventionnel en déshérence.</w:t>
      </w:r>
      <w:r w:rsidR="00876F01">
        <w:rPr>
          <w:sz w:val="24"/>
          <w:szCs w:val="24"/>
        </w:rPr>
        <w:t xml:space="preserve"> </w:t>
      </w:r>
      <w:r w:rsidR="00876F01" w:rsidRPr="00876F01">
        <w:rPr>
          <w:sz w:val="24"/>
          <w:szCs w:val="24"/>
        </w:rPr>
        <w:t xml:space="preserve">Un programme de rénovation </w:t>
      </w:r>
      <w:r w:rsidR="00876F01">
        <w:rPr>
          <w:sz w:val="24"/>
          <w:szCs w:val="24"/>
        </w:rPr>
        <w:t xml:space="preserve">a été </w:t>
      </w:r>
      <w:r w:rsidR="00876F01" w:rsidRPr="00876F01">
        <w:rPr>
          <w:sz w:val="24"/>
          <w:szCs w:val="24"/>
        </w:rPr>
        <w:t xml:space="preserve"> lancé</w:t>
      </w:r>
      <w:r w:rsidR="00876F01">
        <w:rPr>
          <w:sz w:val="24"/>
          <w:szCs w:val="24"/>
        </w:rPr>
        <w:t xml:space="preserve"> en 2018</w:t>
      </w:r>
      <w:r w:rsidR="008F1135">
        <w:rPr>
          <w:sz w:val="24"/>
          <w:szCs w:val="24"/>
        </w:rPr>
        <w:t>,</w:t>
      </w:r>
      <w:r w:rsidR="00876F01">
        <w:rPr>
          <w:sz w:val="24"/>
          <w:szCs w:val="24"/>
        </w:rPr>
        <w:t>  nettement insuffisant</w:t>
      </w:r>
      <w:r w:rsidR="008F1135">
        <w:rPr>
          <w:sz w:val="24"/>
          <w:szCs w:val="24"/>
        </w:rPr>
        <w:t>,</w:t>
      </w:r>
      <w:r w:rsidR="00876F01">
        <w:rPr>
          <w:sz w:val="24"/>
          <w:szCs w:val="24"/>
        </w:rPr>
        <w:t xml:space="preserve"> comme le montre l’actualité récente</w:t>
      </w:r>
      <w:r w:rsidR="00876F01">
        <w:rPr>
          <w:rFonts w:ascii="Calibri" w:hAnsi="Calibri" w:cs="Calibri"/>
          <w:bCs/>
          <w:sz w:val="24"/>
          <w:szCs w:val="24"/>
        </w:rPr>
        <w:t xml:space="preserve">. Monsieur </w:t>
      </w:r>
      <w:r w:rsidR="00273473">
        <w:rPr>
          <w:sz w:val="24"/>
          <w:szCs w:val="24"/>
        </w:rPr>
        <w:t>Luc Lallemand, PDG de SNCF Réseau</w:t>
      </w:r>
      <w:r w:rsidR="008F1135">
        <w:rPr>
          <w:sz w:val="24"/>
          <w:szCs w:val="24"/>
        </w:rPr>
        <w:t>,</w:t>
      </w:r>
      <w:r w:rsidR="00273473">
        <w:rPr>
          <w:sz w:val="24"/>
          <w:szCs w:val="24"/>
        </w:rPr>
        <w:t xml:space="preserve"> a commandé </w:t>
      </w:r>
      <w:r w:rsidR="008F1135">
        <w:rPr>
          <w:sz w:val="24"/>
          <w:szCs w:val="24"/>
        </w:rPr>
        <w:t>plusieurs</w:t>
      </w:r>
      <w:r w:rsidR="00273473">
        <w:rPr>
          <w:sz w:val="24"/>
          <w:szCs w:val="24"/>
        </w:rPr>
        <w:t xml:space="preserve"> audits. Le résultat est sans appel : les 2,8 milliards d’euros alloués par l’Etat annuellement pour restaurer le réseau sont largement insuffisants. En effet, le besoin de financement se situerait plutôt aux alentours de 3,7 milliards d’euros annuels. Par ailleurs, l’inflation générerait un surcoût annuel de 400 millions d’euros. </w:t>
      </w:r>
    </w:p>
    <w:p w:rsidR="00876F01" w:rsidRPr="00876F01" w:rsidRDefault="00876F01" w:rsidP="00876F01">
      <w:pPr>
        <w:autoSpaceDE w:val="0"/>
        <w:autoSpaceDN w:val="0"/>
        <w:adjustRightInd w:val="0"/>
        <w:spacing w:after="0" w:line="240" w:lineRule="auto"/>
        <w:jc w:val="both"/>
        <w:rPr>
          <w:rFonts w:ascii="Calibri" w:hAnsi="Calibri" w:cs="Calibri"/>
          <w:bCs/>
          <w:sz w:val="24"/>
          <w:szCs w:val="24"/>
        </w:rPr>
      </w:pPr>
    </w:p>
    <w:p w:rsidR="008F1135" w:rsidRDefault="00273473" w:rsidP="00273473">
      <w:pPr>
        <w:jc w:val="both"/>
        <w:rPr>
          <w:sz w:val="24"/>
          <w:szCs w:val="24"/>
        </w:rPr>
      </w:pPr>
      <w:r>
        <w:rPr>
          <w:sz w:val="24"/>
          <w:szCs w:val="24"/>
        </w:rPr>
        <w:lastRenderedPageBreak/>
        <w:t>Ce sous-financement contraint SNCF Réseau à des choix contestables</w:t>
      </w:r>
      <w:r>
        <w:rPr>
          <w:rStyle w:val="Appelnotedebasdep"/>
          <w:sz w:val="24"/>
          <w:szCs w:val="24"/>
        </w:rPr>
        <w:footnoteReference w:id="12"/>
      </w:r>
      <w:r>
        <w:rPr>
          <w:sz w:val="24"/>
          <w:szCs w:val="24"/>
        </w:rPr>
        <w:t xml:space="preserve">. </w:t>
      </w:r>
      <w:r w:rsidRPr="00836215">
        <w:rPr>
          <w:i/>
          <w:sz w:val="24"/>
          <w:szCs w:val="24"/>
        </w:rPr>
        <w:t>« Il faudra réduire le périmètre d’activité »</w:t>
      </w:r>
      <w:r>
        <w:rPr>
          <w:sz w:val="24"/>
          <w:szCs w:val="24"/>
        </w:rPr>
        <w:t xml:space="preserve"> selon Luc Lallemand  qui prévient : </w:t>
      </w:r>
      <w:r w:rsidRPr="00836215">
        <w:rPr>
          <w:i/>
          <w:sz w:val="24"/>
          <w:szCs w:val="24"/>
        </w:rPr>
        <w:t xml:space="preserve">« si l’Etat n’intervient pas au plus tard en septembre », </w:t>
      </w:r>
      <w:r w:rsidRPr="002F2CF2">
        <w:rPr>
          <w:sz w:val="24"/>
          <w:szCs w:val="24"/>
        </w:rPr>
        <w:t>il faudra</w:t>
      </w:r>
      <w:r w:rsidRPr="00836215">
        <w:rPr>
          <w:i/>
          <w:sz w:val="24"/>
          <w:szCs w:val="24"/>
        </w:rPr>
        <w:t xml:space="preserve"> « diviser le réseau en deux parties »</w:t>
      </w:r>
      <w:r>
        <w:rPr>
          <w:sz w:val="24"/>
          <w:szCs w:val="24"/>
        </w:rPr>
        <w:t>. D</w:t>
      </w:r>
      <w:r w:rsidRPr="00836215">
        <w:rPr>
          <w:sz w:val="24"/>
          <w:szCs w:val="24"/>
        </w:rPr>
        <w:t xml:space="preserve">’un côté, le </w:t>
      </w:r>
      <w:r w:rsidRPr="00836215">
        <w:rPr>
          <w:i/>
          <w:sz w:val="24"/>
          <w:szCs w:val="24"/>
        </w:rPr>
        <w:t>« réseau super-structurant, qui regroupe les lignes UIC 2 à 4 »</w:t>
      </w:r>
      <w:r w:rsidRPr="00836215">
        <w:rPr>
          <w:sz w:val="24"/>
          <w:szCs w:val="24"/>
        </w:rPr>
        <w:t xml:space="preserve"> sur lesquelles SNCF Réseau continuera à investir, et </w:t>
      </w:r>
      <w:r>
        <w:rPr>
          <w:sz w:val="24"/>
          <w:szCs w:val="24"/>
        </w:rPr>
        <w:t>de</w:t>
      </w:r>
      <w:r w:rsidRPr="00836215">
        <w:rPr>
          <w:sz w:val="24"/>
          <w:szCs w:val="24"/>
        </w:rPr>
        <w:t xml:space="preserve"> </w:t>
      </w:r>
      <w:r>
        <w:rPr>
          <w:sz w:val="24"/>
          <w:szCs w:val="24"/>
        </w:rPr>
        <w:t>l’</w:t>
      </w:r>
      <w:r w:rsidRPr="00836215">
        <w:rPr>
          <w:sz w:val="24"/>
          <w:szCs w:val="24"/>
        </w:rPr>
        <w:t xml:space="preserve">autre, le </w:t>
      </w:r>
      <w:r w:rsidRPr="00836215">
        <w:rPr>
          <w:i/>
          <w:sz w:val="24"/>
          <w:szCs w:val="24"/>
        </w:rPr>
        <w:t>« réseau structurant</w:t>
      </w:r>
      <w:r>
        <w:rPr>
          <w:i/>
          <w:sz w:val="24"/>
          <w:szCs w:val="24"/>
        </w:rPr>
        <w:t> »</w:t>
      </w:r>
      <w:r w:rsidRPr="00836215">
        <w:rPr>
          <w:sz w:val="24"/>
          <w:szCs w:val="24"/>
        </w:rPr>
        <w:t xml:space="preserve">, </w:t>
      </w:r>
      <w:r>
        <w:rPr>
          <w:sz w:val="24"/>
          <w:szCs w:val="24"/>
        </w:rPr>
        <w:t>(</w:t>
      </w:r>
      <w:r w:rsidRPr="00836215">
        <w:rPr>
          <w:sz w:val="24"/>
          <w:szCs w:val="24"/>
        </w:rPr>
        <w:t>lignes UIC 5 à 6</w:t>
      </w:r>
      <w:r>
        <w:rPr>
          <w:sz w:val="24"/>
          <w:szCs w:val="24"/>
        </w:rPr>
        <w:t>)</w:t>
      </w:r>
      <w:r w:rsidRPr="00836215">
        <w:rPr>
          <w:sz w:val="24"/>
          <w:szCs w:val="24"/>
        </w:rPr>
        <w:t xml:space="preserve">, </w:t>
      </w:r>
      <w:r w:rsidRPr="00836215">
        <w:rPr>
          <w:i/>
          <w:sz w:val="24"/>
          <w:szCs w:val="24"/>
        </w:rPr>
        <w:t>« sur lesquelles nous allons désinvestir »</w:t>
      </w:r>
      <w:r>
        <w:rPr>
          <w:rStyle w:val="Appelnotedebasdep"/>
          <w:i/>
          <w:sz w:val="24"/>
          <w:szCs w:val="24"/>
        </w:rPr>
        <w:footnoteReference w:id="13"/>
      </w:r>
      <w:r w:rsidRPr="00836215">
        <w:rPr>
          <w:sz w:val="24"/>
          <w:szCs w:val="24"/>
        </w:rPr>
        <w:t>.</w:t>
      </w:r>
      <w:r>
        <w:rPr>
          <w:sz w:val="24"/>
          <w:szCs w:val="24"/>
        </w:rPr>
        <w:t xml:space="preserve"> Quelles lignes UIC 5 et 6, à fort trafic seront sacrifiées ?  Que deviendront les petites lignes que l’Etat s’est engagé à reprendre car il les considère comme « structurantes » ? Seront-elles rénovées ?</w:t>
      </w:r>
      <w:r w:rsidR="00876F01">
        <w:rPr>
          <w:sz w:val="24"/>
          <w:szCs w:val="24"/>
        </w:rPr>
        <w:t xml:space="preserve"> </w:t>
      </w:r>
    </w:p>
    <w:p w:rsidR="00BF334E" w:rsidRDefault="00876F01" w:rsidP="00273473">
      <w:pPr>
        <w:jc w:val="both"/>
        <w:rPr>
          <w:sz w:val="24"/>
          <w:szCs w:val="24"/>
        </w:rPr>
      </w:pPr>
      <w:r>
        <w:rPr>
          <w:sz w:val="24"/>
          <w:szCs w:val="24"/>
        </w:rPr>
        <w:t>Début 2022, le ministère des transports</w:t>
      </w:r>
      <w:r w:rsidR="00BF334E">
        <w:rPr>
          <w:sz w:val="24"/>
          <w:szCs w:val="24"/>
        </w:rPr>
        <w:t xml:space="preserve"> répondait à une question écrite de la députée Jacqueline Dubois </w:t>
      </w:r>
      <w:r w:rsidR="00273473">
        <w:rPr>
          <w:sz w:val="24"/>
          <w:szCs w:val="24"/>
        </w:rPr>
        <w:t xml:space="preserve">: </w:t>
      </w:r>
    </w:p>
    <w:p w:rsidR="00876F01" w:rsidRPr="00876F01" w:rsidRDefault="00273473" w:rsidP="00BF334E">
      <w:pPr>
        <w:ind w:left="708"/>
        <w:jc w:val="both"/>
        <w:rPr>
          <w:sz w:val="24"/>
          <w:szCs w:val="24"/>
        </w:rPr>
      </w:pPr>
      <w:r w:rsidRPr="00AD2377">
        <w:rPr>
          <w:i/>
          <w:sz w:val="24"/>
          <w:szCs w:val="24"/>
        </w:rPr>
        <w:t>« Alors que les lignes de desserte fine du territoire ont souffert d’un manque d’investissements chronique au cours des dernières décennies, le Gouvernement a fait de leur remise en état une des priorit</w:t>
      </w:r>
      <w:r w:rsidR="00BF334E">
        <w:rPr>
          <w:i/>
          <w:sz w:val="24"/>
          <w:szCs w:val="24"/>
        </w:rPr>
        <w:t xml:space="preserve">és de sa politique ferroviaire. » </w:t>
      </w:r>
    </w:p>
    <w:p w:rsidR="0010131B" w:rsidRDefault="00D136C0" w:rsidP="008E7126">
      <w:pPr>
        <w:jc w:val="both"/>
        <w:rPr>
          <w:sz w:val="24"/>
          <w:szCs w:val="24"/>
        </w:rPr>
      </w:pPr>
      <w:r>
        <w:rPr>
          <w:sz w:val="24"/>
          <w:szCs w:val="24"/>
        </w:rPr>
        <w:t>Un</w:t>
      </w:r>
      <w:r w:rsidR="00BF334E">
        <w:rPr>
          <w:sz w:val="24"/>
          <w:szCs w:val="24"/>
        </w:rPr>
        <w:t xml:space="preserve"> « vœu pieu » car les moyens mis à la disposition sont nettement insuffisants, l’Etat préférant construire de nouvelles LGV et solliciter des subventions européennes pour des projets dont la viabilité économique est insuffisante. </w:t>
      </w:r>
    </w:p>
    <w:p w:rsidR="00BB6894" w:rsidRDefault="008F1135" w:rsidP="008E7126">
      <w:pPr>
        <w:jc w:val="both"/>
        <w:rPr>
          <w:sz w:val="24"/>
          <w:szCs w:val="24"/>
        </w:rPr>
      </w:pPr>
      <w:r>
        <w:rPr>
          <w:sz w:val="24"/>
          <w:szCs w:val="24"/>
        </w:rPr>
        <w:t xml:space="preserve">En espérant vous avoir convaincu de l’impérieuse nécessité d’investir massivement dans la rénovation des lignes actuelles, seule option susceptible de répondre efficacement  aux enjeux du report modal et aux ambitions du </w:t>
      </w:r>
      <w:r w:rsidRPr="008F1135">
        <w:rPr>
          <w:sz w:val="24"/>
          <w:szCs w:val="24"/>
        </w:rPr>
        <w:t xml:space="preserve">Pacte vert (Green Deal) européen </w:t>
      </w:r>
    </w:p>
    <w:p w:rsidR="00D136C0" w:rsidRDefault="00D136C0" w:rsidP="008E7126">
      <w:pPr>
        <w:jc w:val="both"/>
        <w:rPr>
          <w:sz w:val="24"/>
          <w:szCs w:val="24"/>
        </w:rPr>
      </w:pPr>
      <w:r w:rsidRPr="00D136C0">
        <w:rPr>
          <w:sz w:val="24"/>
          <w:szCs w:val="24"/>
        </w:rPr>
        <w:t xml:space="preserve">A titre informatif pouvez-vous nous communiquer l’appel à projet du GPSO Bordeaux-Toulouse et Bordeaux-Dax déposé par SNCF </w:t>
      </w:r>
      <w:r w:rsidR="00C62AD6" w:rsidRPr="00D136C0">
        <w:rPr>
          <w:sz w:val="24"/>
          <w:szCs w:val="24"/>
        </w:rPr>
        <w:t>Réseau</w:t>
      </w:r>
      <w:r w:rsidR="00C62AD6" w:rsidRPr="00C62AD6">
        <w:t xml:space="preserve"> </w:t>
      </w:r>
      <w:r w:rsidR="00C62AD6" w:rsidRPr="00C62AD6">
        <w:rPr>
          <w:sz w:val="24"/>
          <w:szCs w:val="24"/>
        </w:rPr>
        <w:t>au nom de l’Etat Français</w:t>
      </w:r>
      <w:r w:rsidR="00C62AD6">
        <w:rPr>
          <w:sz w:val="24"/>
          <w:szCs w:val="24"/>
        </w:rPr>
        <w:t xml:space="preserve">, </w:t>
      </w:r>
      <w:r>
        <w:rPr>
          <w:sz w:val="24"/>
          <w:szCs w:val="24"/>
        </w:rPr>
        <w:t xml:space="preserve"> en juin dernier et celui déposé pour la prochaine </w:t>
      </w:r>
      <w:r w:rsidR="00C62AD6">
        <w:rPr>
          <w:sz w:val="24"/>
          <w:szCs w:val="24"/>
        </w:rPr>
        <w:t>session</w:t>
      </w:r>
      <w:r>
        <w:rPr>
          <w:sz w:val="24"/>
          <w:szCs w:val="24"/>
        </w:rPr>
        <w:t xml:space="preserve"> du MIE en septembre</w:t>
      </w:r>
      <w:r w:rsidRPr="00D136C0">
        <w:rPr>
          <w:sz w:val="24"/>
          <w:szCs w:val="24"/>
        </w:rPr>
        <w:t>.</w:t>
      </w:r>
    </w:p>
    <w:p w:rsidR="00832A1A" w:rsidRDefault="00832A1A" w:rsidP="008E7126">
      <w:pPr>
        <w:jc w:val="both"/>
        <w:rPr>
          <w:sz w:val="24"/>
          <w:szCs w:val="24"/>
        </w:rPr>
      </w:pPr>
      <w:r>
        <w:rPr>
          <w:sz w:val="24"/>
          <w:szCs w:val="24"/>
        </w:rPr>
        <w:t>Nous</w:t>
      </w:r>
      <w:r w:rsidRPr="00832A1A">
        <w:rPr>
          <w:sz w:val="24"/>
          <w:szCs w:val="24"/>
        </w:rPr>
        <w:t xml:space="preserve"> vous pri</w:t>
      </w:r>
      <w:r>
        <w:rPr>
          <w:sz w:val="24"/>
          <w:szCs w:val="24"/>
        </w:rPr>
        <w:t>ons</w:t>
      </w:r>
      <w:r w:rsidRPr="00832A1A">
        <w:rPr>
          <w:sz w:val="24"/>
          <w:szCs w:val="24"/>
        </w:rPr>
        <w:t xml:space="preserve"> d'agréer, Monsieur, l'expression de </w:t>
      </w:r>
      <w:r>
        <w:rPr>
          <w:sz w:val="24"/>
          <w:szCs w:val="24"/>
        </w:rPr>
        <w:t>nos sentiments distingués.</w:t>
      </w:r>
      <w:bookmarkStart w:id="0" w:name="_GoBack"/>
      <w:bookmarkEnd w:id="0"/>
    </w:p>
    <w:sectPr w:rsidR="00832A1A" w:rsidSect="00C62AD6">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45" w:rsidRDefault="00D53F45" w:rsidP="00A869B6">
      <w:pPr>
        <w:spacing w:after="0" w:line="240" w:lineRule="auto"/>
      </w:pPr>
      <w:r>
        <w:separator/>
      </w:r>
    </w:p>
  </w:endnote>
  <w:endnote w:type="continuationSeparator" w:id="0">
    <w:p w:rsidR="00D53F45" w:rsidRDefault="00D53F45" w:rsidP="00A86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Std-Ligh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923751"/>
      <w:docPartObj>
        <w:docPartGallery w:val="Page Numbers (Bottom of Page)"/>
        <w:docPartUnique/>
      </w:docPartObj>
    </w:sdtPr>
    <w:sdtContent>
      <w:p w:rsidR="00D136C0" w:rsidRDefault="00042AB5">
        <w:pPr>
          <w:pStyle w:val="Pieddepage"/>
          <w:jc w:val="center"/>
        </w:pPr>
        <w:r>
          <w:fldChar w:fldCharType="begin"/>
        </w:r>
        <w:r w:rsidR="00D136C0">
          <w:instrText>PAGE   \* MERGEFORMAT</w:instrText>
        </w:r>
        <w:r>
          <w:fldChar w:fldCharType="separate"/>
        </w:r>
        <w:r w:rsidR="00816C95">
          <w:rPr>
            <w:noProof/>
          </w:rPr>
          <w:t>1</w:t>
        </w:r>
        <w:r>
          <w:fldChar w:fldCharType="end"/>
        </w:r>
      </w:p>
    </w:sdtContent>
  </w:sdt>
  <w:p w:rsidR="00D136C0" w:rsidRDefault="00D136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45" w:rsidRDefault="00D53F45" w:rsidP="00A869B6">
      <w:pPr>
        <w:spacing w:after="0" w:line="240" w:lineRule="auto"/>
      </w:pPr>
      <w:r>
        <w:separator/>
      </w:r>
    </w:p>
  </w:footnote>
  <w:footnote w:type="continuationSeparator" w:id="0">
    <w:p w:rsidR="00D53F45" w:rsidRDefault="00D53F45" w:rsidP="00A869B6">
      <w:pPr>
        <w:spacing w:after="0" w:line="240" w:lineRule="auto"/>
      </w:pPr>
      <w:r>
        <w:continuationSeparator/>
      </w:r>
    </w:p>
  </w:footnote>
  <w:footnote w:id="1">
    <w:p w:rsidR="00A869B6" w:rsidRDefault="00A869B6" w:rsidP="008D7904">
      <w:pPr>
        <w:pStyle w:val="Notedebasdepage"/>
        <w:jc w:val="both"/>
      </w:pPr>
      <w:r>
        <w:rPr>
          <w:rStyle w:val="Appelnotedebasdep"/>
        </w:rPr>
        <w:footnoteRef/>
      </w:r>
      <w:r>
        <w:t xml:space="preserve"> </w:t>
      </w:r>
      <w:r w:rsidRPr="00A869B6">
        <w:t>« La grande vitesse ferroviaire, un modèle porté au –delà de sa pertinence »</w:t>
      </w:r>
      <w:r>
        <w:t xml:space="preserve"> Page 41</w:t>
      </w:r>
    </w:p>
  </w:footnote>
  <w:footnote w:id="2">
    <w:p w:rsidR="008D7904" w:rsidRDefault="008D7904" w:rsidP="008D7904">
      <w:pPr>
        <w:pStyle w:val="Notedebasdepage"/>
        <w:jc w:val="both"/>
      </w:pPr>
      <w:r>
        <w:rPr>
          <w:rStyle w:val="Appelnotedebasdep"/>
        </w:rPr>
        <w:footnoteRef/>
      </w:r>
      <w:r>
        <w:t xml:space="preserve"> Rapporté </w:t>
      </w:r>
      <w:r w:rsidR="003A22A3">
        <w:t xml:space="preserve">dans « Les métamorphoses </w:t>
      </w:r>
      <w:r w:rsidR="00DA35C3">
        <w:t xml:space="preserve">du modèle économique de la grande vitesse ferroviaire » </w:t>
      </w:r>
      <w:r>
        <w:t>par Yves Crozet,</w:t>
      </w:r>
      <w:r w:rsidRPr="008D7904">
        <w:t xml:space="preserve"> économiste français, spécialiste de l’économie des transports.</w:t>
      </w:r>
      <w:r>
        <w:t xml:space="preserve"> Il fut président du laboratoire d’économie des transports de 1997 à 2007 et administrateur de Réseau ferré de France et de Sciences Po Lyon.</w:t>
      </w:r>
    </w:p>
  </w:footnote>
  <w:footnote w:id="3">
    <w:p w:rsidR="00A869B6" w:rsidRDefault="00A869B6" w:rsidP="008D7904">
      <w:pPr>
        <w:pStyle w:val="Notedebasdepage"/>
        <w:jc w:val="both"/>
      </w:pPr>
      <w:r>
        <w:rPr>
          <w:rStyle w:val="Appelnotedebasdep"/>
        </w:rPr>
        <w:footnoteRef/>
      </w:r>
      <w:r>
        <w:t xml:space="preserve"> </w:t>
      </w:r>
      <w:r w:rsidRPr="00A869B6">
        <w:t>« Réseau ferroviaire à grande vitesse européen: fragmenté et inefficace, il est loin d’être une réalité. » Page 9</w:t>
      </w:r>
    </w:p>
  </w:footnote>
  <w:footnote w:id="4">
    <w:p w:rsidR="00E31DB9" w:rsidRDefault="00E31DB9" w:rsidP="008D7904">
      <w:pPr>
        <w:pStyle w:val="Notedebasdepage"/>
        <w:jc w:val="both"/>
      </w:pPr>
      <w:r>
        <w:rPr>
          <w:rStyle w:val="Appelnotedebasdep"/>
        </w:rPr>
        <w:footnoteRef/>
      </w:r>
      <w:r>
        <w:t xml:space="preserve"> « Réussir la réforme du système ferroviaire »</w:t>
      </w:r>
    </w:p>
  </w:footnote>
  <w:footnote w:id="5">
    <w:p w:rsidR="00E31DB9" w:rsidRDefault="00E31DB9" w:rsidP="008D7904">
      <w:pPr>
        <w:pStyle w:val="Notedebasdepage"/>
        <w:jc w:val="both"/>
      </w:pPr>
      <w:r>
        <w:rPr>
          <w:rStyle w:val="Appelnotedebasdep"/>
        </w:rPr>
        <w:footnoteRef/>
      </w:r>
      <w:r>
        <w:t xml:space="preserve"> Page 6</w:t>
      </w:r>
    </w:p>
  </w:footnote>
  <w:footnote w:id="6">
    <w:p w:rsidR="00386F20" w:rsidRDefault="00386F20">
      <w:pPr>
        <w:pStyle w:val="Notedebasdepage"/>
      </w:pPr>
      <w:r>
        <w:rPr>
          <w:rStyle w:val="Appelnotedebasdep"/>
        </w:rPr>
        <w:footnoteRef/>
      </w:r>
      <w:r>
        <w:t xml:space="preserve"> Rapport page 78</w:t>
      </w:r>
    </w:p>
  </w:footnote>
  <w:footnote w:id="7">
    <w:p w:rsidR="00B57C51" w:rsidRDefault="00B57C51" w:rsidP="00B57C51">
      <w:pPr>
        <w:pStyle w:val="Notedebasdepage"/>
      </w:pPr>
      <w:r>
        <w:rPr>
          <w:rStyle w:val="Appelnotedebasdep"/>
        </w:rPr>
        <w:footnoteRef/>
      </w:r>
      <w:r>
        <w:t xml:space="preserve"> Rapport spécial 2020 : «</w:t>
      </w:r>
      <w:r w:rsidRPr="00B57C51">
        <w:t xml:space="preserve">Infrastructures de transport de l'UE: accélérer la mise en </w:t>
      </w:r>
      <w:r w:rsidR="00D136C0" w:rsidRPr="00B57C51">
        <w:t>œuvre</w:t>
      </w:r>
      <w:r w:rsidRPr="00B57C51">
        <w:t xml:space="preserve"> des mégaprojets pour générer l'effet de réseau dans les délais prévus</w:t>
      </w:r>
      <w:r>
        <w:t> » </w:t>
      </w:r>
    </w:p>
  </w:footnote>
  <w:footnote w:id="8">
    <w:p w:rsidR="00B57C51" w:rsidRDefault="00B57C51">
      <w:pPr>
        <w:pStyle w:val="Notedebasdepage"/>
      </w:pPr>
      <w:r>
        <w:rPr>
          <w:rStyle w:val="Appelnotedebasdep"/>
        </w:rPr>
        <w:footnoteRef/>
      </w:r>
      <w:r>
        <w:t xml:space="preserve"> Page 4 des réponses.</w:t>
      </w:r>
    </w:p>
  </w:footnote>
  <w:footnote w:id="9">
    <w:p w:rsidR="00A666FD" w:rsidRDefault="00A666FD">
      <w:pPr>
        <w:pStyle w:val="Notedebasdepage"/>
      </w:pPr>
      <w:r>
        <w:rPr>
          <w:rStyle w:val="Appelnotedebasdep"/>
        </w:rPr>
        <w:footnoteRef/>
      </w:r>
      <w:r>
        <w:t xml:space="preserve"> DIACT.2009. Transport et accessibilité des villes moyennes. Rencontre nationale des villes moyennes. Le Puy- en- Velay, le 11 septembre 2009</w:t>
      </w:r>
    </w:p>
  </w:footnote>
  <w:footnote w:id="10">
    <w:p w:rsidR="008235E1" w:rsidRDefault="008235E1">
      <w:pPr>
        <w:pStyle w:val="Notedebasdepage"/>
      </w:pPr>
      <w:r>
        <w:rPr>
          <w:rStyle w:val="Appelnotedebasdep"/>
        </w:rPr>
        <w:footnoteRef/>
      </w:r>
      <w:r>
        <w:t xml:space="preserve"> Rapport spécial 2020 : «</w:t>
      </w:r>
      <w:r w:rsidRPr="00B57C51">
        <w:t xml:space="preserve">Infrastructures de transport de l'UE: accélérer la mise en </w:t>
      </w:r>
      <w:r w:rsidR="00D136C0" w:rsidRPr="00B57C51">
        <w:t>œuvre</w:t>
      </w:r>
      <w:r w:rsidRPr="00B57C51">
        <w:t xml:space="preserve"> des mégaprojets pour générer l'effet de réseau dans les délais prévus</w:t>
      </w:r>
      <w:r>
        <w:t> » Page 70.</w:t>
      </w:r>
    </w:p>
  </w:footnote>
  <w:footnote w:id="11">
    <w:p w:rsidR="008235E1" w:rsidRDefault="008235E1">
      <w:pPr>
        <w:pStyle w:val="Notedebasdepage"/>
      </w:pPr>
      <w:r>
        <w:rPr>
          <w:rStyle w:val="Appelnotedebasdep"/>
        </w:rPr>
        <w:footnoteRef/>
      </w:r>
      <w:r>
        <w:t xml:space="preserve"> Page 51 du rapport</w:t>
      </w:r>
    </w:p>
  </w:footnote>
  <w:footnote w:id="12">
    <w:p w:rsidR="00273473" w:rsidRPr="00841C7B" w:rsidRDefault="00273473" w:rsidP="00273473">
      <w:pPr>
        <w:pStyle w:val="Notedebasdepage"/>
      </w:pPr>
      <w:r w:rsidRPr="00A16BFC">
        <w:rPr>
          <w:rStyle w:val="Appelnotedebasdep"/>
        </w:rPr>
        <w:footnoteRef/>
      </w:r>
      <w:r w:rsidRPr="00A16BFC">
        <w:t xml:space="preserve"> « SNCF Réseau compte réduire ses investissements sur le réseau ferroviaire "structurant" »</w:t>
      </w:r>
      <w:r w:rsidRPr="00A16BFC">
        <w:rPr>
          <w:i/>
        </w:rPr>
        <w:t xml:space="preserve"> Ville, Rail et Transports</w:t>
      </w:r>
      <w:r w:rsidRPr="00A16BFC">
        <w:t>, juin 2022</w:t>
      </w:r>
      <w:r>
        <w:rPr>
          <w:sz w:val="24"/>
          <w:szCs w:val="24"/>
        </w:rPr>
        <w:t>.</w:t>
      </w:r>
    </w:p>
  </w:footnote>
  <w:footnote w:id="13">
    <w:p w:rsidR="00273473" w:rsidRPr="00836215" w:rsidRDefault="00273473" w:rsidP="00273473">
      <w:pPr>
        <w:jc w:val="both"/>
        <w:rPr>
          <w:sz w:val="24"/>
          <w:szCs w:val="24"/>
        </w:rPr>
      </w:pPr>
      <w:r>
        <w:rPr>
          <w:rStyle w:val="Appelnotedebasdep"/>
        </w:rPr>
        <w:footnoteRef/>
      </w:r>
      <w:r>
        <w:t xml:space="preserve"> </w:t>
      </w:r>
      <w:r w:rsidRPr="00A16BFC">
        <w:rPr>
          <w:sz w:val="20"/>
          <w:szCs w:val="20"/>
        </w:rPr>
        <w:t>L’UIC (Union Internationale des Chemins de fer) classe le réseau en deux catégories : les lignes à fort trafic classées UIC 2 à 6 et celles à faible trafic, classées 7 à 9.</w:t>
      </w:r>
    </w:p>
    <w:p w:rsidR="00273473" w:rsidRDefault="00273473" w:rsidP="00273473">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E99"/>
    <w:multiLevelType w:val="multilevel"/>
    <w:tmpl w:val="A564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B14B90"/>
    <w:multiLevelType w:val="multilevel"/>
    <w:tmpl w:val="149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E7126"/>
    <w:rsid w:val="00013480"/>
    <w:rsid w:val="00036D48"/>
    <w:rsid w:val="00037475"/>
    <w:rsid w:val="00040960"/>
    <w:rsid w:val="00042AB5"/>
    <w:rsid w:val="0007440E"/>
    <w:rsid w:val="00092A95"/>
    <w:rsid w:val="0009722D"/>
    <w:rsid w:val="000B2EE6"/>
    <w:rsid w:val="000B76BE"/>
    <w:rsid w:val="000D21C0"/>
    <w:rsid w:val="000F14F7"/>
    <w:rsid w:val="000F1712"/>
    <w:rsid w:val="000F4963"/>
    <w:rsid w:val="000F6D02"/>
    <w:rsid w:val="0010131B"/>
    <w:rsid w:val="00106E90"/>
    <w:rsid w:val="00113F7F"/>
    <w:rsid w:val="00115802"/>
    <w:rsid w:val="00132E0A"/>
    <w:rsid w:val="001418F5"/>
    <w:rsid w:val="00150C27"/>
    <w:rsid w:val="0015329C"/>
    <w:rsid w:val="001544DB"/>
    <w:rsid w:val="00155CE7"/>
    <w:rsid w:val="00157092"/>
    <w:rsid w:val="001617DC"/>
    <w:rsid w:val="00161CE4"/>
    <w:rsid w:val="00161F12"/>
    <w:rsid w:val="001629FB"/>
    <w:rsid w:val="00162EB0"/>
    <w:rsid w:val="00164DFD"/>
    <w:rsid w:val="00165987"/>
    <w:rsid w:val="00166793"/>
    <w:rsid w:val="00177D1D"/>
    <w:rsid w:val="00180F62"/>
    <w:rsid w:val="00181C98"/>
    <w:rsid w:val="00183CAD"/>
    <w:rsid w:val="001A153C"/>
    <w:rsid w:val="001A797B"/>
    <w:rsid w:val="001B0A4B"/>
    <w:rsid w:val="001C28D2"/>
    <w:rsid w:val="001D21FE"/>
    <w:rsid w:val="001D62D7"/>
    <w:rsid w:val="001D74E0"/>
    <w:rsid w:val="001E02A1"/>
    <w:rsid w:val="001F038D"/>
    <w:rsid w:val="001F2F42"/>
    <w:rsid w:val="002024ED"/>
    <w:rsid w:val="00205A69"/>
    <w:rsid w:val="00214E4B"/>
    <w:rsid w:val="00217C69"/>
    <w:rsid w:val="00221BB3"/>
    <w:rsid w:val="002235BC"/>
    <w:rsid w:val="0022711A"/>
    <w:rsid w:val="00245B1C"/>
    <w:rsid w:val="00251B5E"/>
    <w:rsid w:val="00256FB5"/>
    <w:rsid w:val="00270669"/>
    <w:rsid w:val="0027125C"/>
    <w:rsid w:val="00273473"/>
    <w:rsid w:val="00280D5E"/>
    <w:rsid w:val="00282843"/>
    <w:rsid w:val="00286DBE"/>
    <w:rsid w:val="00292DAB"/>
    <w:rsid w:val="002C47D7"/>
    <w:rsid w:val="002C500D"/>
    <w:rsid w:val="002C5647"/>
    <w:rsid w:val="002C65A7"/>
    <w:rsid w:val="002D3352"/>
    <w:rsid w:val="002D3396"/>
    <w:rsid w:val="002D52F5"/>
    <w:rsid w:val="002D75D5"/>
    <w:rsid w:val="002E7F6A"/>
    <w:rsid w:val="002F7A41"/>
    <w:rsid w:val="0030365A"/>
    <w:rsid w:val="00304917"/>
    <w:rsid w:val="00324AC0"/>
    <w:rsid w:val="00325D84"/>
    <w:rsid w:val="00332161"/>
    <w:rsid w:val="0033280C"/>
    <w:rsid w:val="00334292"/>
    <w:rsid w:val="0033581C"/>
    <w:rsid w:val="00342944"/>
    <w:rsid w:val="003503C5"/>
    <w:rsid w:val="00357C0E"/>
    <w:rsid w:val="00361337"/>
    <w:rsid w:val="0036343B"/>
    <w:rsid w:val="00367F57"/>
    <w:rsid w:val="00373EFE"/>
    <w:rsid w:val="00386B65"/>
    <w:rsid w:val="00386F20"/>
    <w:rsid w:val="003961F3"/>
    <w:rsid w:val="003A22A3"/>
    <w:rsid w:val="003A2729"/>
    <w:rsid w:val="003B0D1A"/>
    <w:rsid w:val="003C328E"/>
    <w:rsid w:val="003D5DD3"/>
    <w:rsid w:val="003D5DEA"/>
    <w:rsid w:val="003E1672"/>
    <w:rsid w:val="003E22E5"/>
    <w:rsid w:val="003E290B"/>
    <w:rsid w:val="003F5E05"/>
    <w:rsid w:val="003F63F8"/>
    <w:rsid w:val="003F7432"/>
    <w:rsid w:val="0040344D"/>
    <w:rsid w:val="00403A78"/>
    <w:rsid w:val="00411355"/>
    <w:rsid w:val="004116D0"/>
    <w:rsid w:val="00413D43"/>
    <w:rsid w:val="00417CBF"/>
    <w:rsid w:val="0042243E"/>
    <w:rsid w:val="00422496"/>
    <w:rsid w:val="00424BE3"/>
    <w:rsid w:val="00427A55"/>
    <w:rsid w:val="00436694"/>
    <w:rsid w:val="00437E6B"/>
    <w:rsid w:val="004420BF"/>
    <w:rsid w:val="00442F59"/>
    <w:rsid w:val="00461EB5"/>
    <w:rsid w:val="004668C8"/>
    <w:rsid w:val="00466CA9"/>
    <w:rsid w:val="00481756"/>
    <w:rsid w:val="00483B29"/>
    <w:rsid w:val="004926C3"/>
    <w:rsid w:val="00492E26"/>
    <w:rsid w:val="004A1423"/>
    <w:rsid w:val="004C163E"/>
    <w:rsid w:val="004D56E4"/>
    <w:rsid w:val="00501C9D"/>
    <w:rsid w:val="00511295"/>
    <w:rsid w:val="00511C63"/>
    <w:rsid w:val="00514104"/>
    <w:rsid w:val="00516403"/>
    <w:rsid w:val="00516BC6"/>
    <w:rsid w:val="00520486"/>
    <w:rsid w:val="00524BC7"/>
    <w:rsid w:val="00526C99"/>
    <w:rsid w:val="00526E6A"/>
    <w:rsid w:val="005304D0"/>
    <w:rsid w:val="00546C6B"/>
    <w:rsid w:val="00556BA1"/>
    <w:rsid w:val="005739B7"/>
    <w:rsid w:val="00581DAA"/>
    <w:rsid w:val="005854D8"/>
    <w:rsid w:val="0059557E"/>
    <w:rsid w:val="005A16C6"/>
    <w:rsid w:val="005A3B98"/>
    <w:rsid w:val="005B0580"/>
    <w:rsid w:val="005B213D"/>
    <w:rsid w:val="005C0E89"/>
    <w:rsid w:val="005C6BB5"/>
    <w:rsid w:val="005D161F"/>
    <w:rsid w:val="005E119F"/>
    <w:rsid w:val="005F2553"/>
    <w:rsid w:val="00617599"/>
    <w:rsid w:val="006410B3"/>
    <w:rsid w:val="00644F04"/>
    <w:rsid w:val="00661394"/>
    <w:rsid w:val="006643BD"/>
    <w:rsid w:val="00665A23"/>
    <w:rsid w:val="00665C87"/>
    <w:rsid w:val="00680FD1"/>
    <w:rsid w:val="006A0B0A"/>
    <w:rsid w:val="006A3500"/>
    <w:rsid w:val="006A7578"/>
    <w:rsid w:val="006A7A4D"/>
    <w:rsid w:val="006E06BB"/>
    <w:rsid w:val="006E0FB9"/>
    <w:rsid w:val="006F2AB9"/>
    <w:rsid w:val="006F6F16"/>
    <w:rsid w:val="007024D4"/>
    <w:rsid w:val="007038B3"/>
    <w:rsid w:val="00707817"/>
    <w:rsid w:val="007209EE"/>
    <w:rsid w:val="007250FF"/>
    <w:rsid w:val="00736035"/>
    <w:rsid w:val="0074548C"/>
    <w:rsid w:val="0074737B"/>
    <w:rsid w:val="007524F0"/>
    <w:rsid w:val="007528F8"/>
    <w:rsid w:val="00755E34"/>
    <w:rsid w:val="007564D6"/>
    <w:rsid w:val="00761BB4"/>
    <w:rsid w:val="00763EBA"/>
    <w:rsid w:val="00774181"/>
    <w:rsid w:val="00776C96"/>
    <w:rsid w:val="0079730B"/>
    <w:rsid w:val="007B05C0"/>
    <w:rsid w:val="007B20C8"/>
    <w:rsid w:val="007B62E8"/>
    <w:rsid w:val="007C3145"/>
    <w:rsid w:val="007C4D3D"/>
    <w:rsid w:val="007D7B9D"/>
    <w:rsid w:val="007E21C7"/>
    <w:rsid w:val="007E656A"/>
    <w:rsid w:val="00800632"/>
    <w:rsid w:val="0080589E"/>
    <w:rsid w:val="00807721"/>
    <w:rsid w:val="0081140C"/>
    <w:rsid w:val="00816C95"/>
    <w:rsid w:val="00820ABB"/>
    <w:rsid w:val="008235E1"/>
    <w:rsid w:val="00823988"/>
    <w:rsid w:val="0082410F"/>
    <w:rsid w:val="00824CBC"/>
    <w:rsid w:val="00832A1A"/>
    <w:rsid w:val="00850907"/>
    <w:rsid w:val="00857C83"/>
    <w:rsid w:val="00861E94"/>
    <w:rsid w:val="00866F3B"/>
    <w:rsid w:val="00870A6A"/>
    <w:rsid w:val="00873F27"/>
    <w:rsid w:val="00876F01"/>
    <w:rsid w:val="00881969"/>
    <w:rsid w:val="00890249"/>
    <w:rsid w:val="008964E8"/>
    <w:rsid w:val="008A5096"/>
    <w:rsid w:val="008A6022"/>
    <w:rsid w:val="008B1173"/>
    <w:rsid w:val="008B256B"/>
    <w:rsid w:val="008C01E0"/>
    <w:rsid w:val="008C2BCA"/>
    <w:rsid w:val="008C2C71"/>
    <w:rsid w:val="008C3C46"/>
    <w:rsid w:val="008C6DF2"/>
    <w:rsid w:val="008C70D7"/>
    <w:rsid w:val="008D7904"/>
    <w:rsid w:val="008E16F4"/>
    <w:rsid w:val="008E205C"/>
    <w:rsid w:val="008E7126"/>
    <w:rsid w:val="008F1135"/>
    <w:rsid w:val="008F5BF4"/>
    <w:rsid w:val="00917700"/>
    <w:rsid w:val="00930697"/>
    <w:rsid w:val="00931B32"/>
    <w:rsid w:val="00932653"/>
    <w:rsid w:val="00970AF5"/>
    <w:rsid w:val="00975AC1"/>
    <w:rsid w:val="009829FB"/>
    <w:rsid w:val="00986F72"/>
    <w:rsid w:val="0099756C"/>
    <w:rsid w:val="009A16B1"/>
    <w:rsid w:val="009A272B"/>
    <w:rsid w:val="009A6386"/>
    <w:rsid w:val="009B3D86"/>
    <w:rsid w:val="009C4E5D"/>
    <w:rsid w:val="009D099E"/>
    <w:rsid w:val="009E6F01"/>
    <w:rsid w:val="009E70C0"/>
    <w:rsid w:val="009E73E3"/>
    <w:rsid w:val="00A022B3"/>
    <w:rsid w:val="00A13D79"/>
    <w:rsid w:val="00A1484D"/>
    <w:rsid w:val="00A21142"/>
    <w:rsid w:val="00A31130"/>
    <w:rsid w:val="00A47C56"/>
    <w:rsid w:val="00A52162"/>
    <w:rsid w:val="00A5455C"/>
    <w:rsid w:val="00A566D7"/>
    <w:rsid w:val="00A56C25"/>
    <w:rsid w:val="00A6505D"/>
    <w:rsid w:val="00A666FD"/>
    <w:rsid w:val="00A869B6"/>
    <w:rsid w:val="00A86B03"/>
    <w:rsid w:val="00AA7A65"/>
    <w:rsid w:val="00AB2EB9"/>
    <w:rsid w:val="00AC17C1"/>
    <w:rsid w:val="00AC4498"/>
    <w:rsid w:val="00AC44BB"/>
    <w:rsid w:val="00AC5A67"/>
    <w:rsid w:val="00AC6217"/>
    <w:rsid w:val="00AD3286"/>
    <w:rsid w:val="00AE4D85"/>
    <w:rsid w:val="00AE7E02"/>
    <w:rsid w:val="00AF1FB1"/>
    <w:rsid w:val="00AF2B7B"/>
    <w:rsid w:val="00B10C80"/>
    <w:rsid w:val="00B27344"/>
    <w:rsid w:val="00B30177"/>
    <w:rsid w:val="00B316FD"/>
    <w:rsid w:val="00B4105E"/>
    <w:rsid w:val="00B44A8E"/>
    <w:rsid w:val="00B50540"/>
    <w:rsid w:val="00B51D7A"/>
    <w:rsid w:val="00B55C20"/>
    <w:rsid w:val="00B57C51"/>
    <w:rsid w:val="00B639AA"/>
    <w:rsid w:val="00B65F00"/>
    <w:rsid w:val="00B7231E"/>
    <w:rsid w:val="00B81A13"/>
    <w:rsid w:val="00B85A34"/>
    <w:rsid w:val="00B913CB"/>
    <w:rsid w:val="00BB11BD"/>
    <w:rsid w:val="00BB1434"/>
    <w:rsid w:val="00BB6894"/>
    <w:rsid w:val="00BD1AEA"/>
    <w:rsid w:val="00BD7DA4"/>
    <w:rsid w:val="00BF334E"/>
    <w:rsid w:val="00BF35C9"/>
    <w:rsid w:val="00BF3D64"/>
    <w:rsid w:val="00C16774"/>
    <w:rsid w:val="00C3449A"/>
    <w:rsid w:val="00C36C01"/>
    <w:rsid w:val="00C45A85"/>
    <w:rsid w:val="00C45E60"/>
    <w:rsid w:val="00C50718"/>
    <w:rsid w:val="00C5538E"/>
    <w:rsid w:val="00C62AD6"/>
    <w:rsid w:val="00C65CC9"/>
    <w:rsid w:val="00C875C9"/>
    <w:rsid w:val="00C96464"/>
    <w:rsid w:val="00CA3809"/>
    <w:rsid w:val="00CA3A02"/>
    <w:rsid w:val="00CA704D"/>
    <w:rsid w:val="00CB4D24"/>
    <w:rsid w:val="00CE08C0"/>
    <w:rsid w:val="00CE1949"/>
    <w:rsid w:val="00CE2144"/>
    <w:rsid w:val="00CF1B97"/>
    <w:rsid w:val="00CF69E9"/>
    <w:rsid w:val="00CF7B57"/>
    <w:rsid w:val="00D03A7D"/>
    <w:rsid w:val="00D12412"/>
    <w:rsid w:val="00D12F03"/>
    <w:rsid w:val="00D136C0"/>
    <w:rsid w:val="00D14C79"/>
    <w:rsid w:val="00D23D4A"/>
    <w:rsid w:val="00D24E69"/>
    <w:rsid w:val="00D2664B"/>
    <w:rsid w:val="00D2681B"/>
    <w:rsid w:val="00D30789"/>
    <w:rsid w:val="00D3096B"/>
    <w:rsid w:val="00D35F43"/>
    <w:rsid w:val="00D43AB6"/>
    <w:rsid w:val="00D47656"/>
    <w:rsid w:val="00D53F45"/>
    <w:rsid w:val="00D62CEF"/>
    <w:rsid w:val="00D63E89"/>
    <w:rsid w:val="00D70A0D"/>
    <w:rsid w:val="00D73FEA"/>
    <w:rsid w:val="00D76112"/>
    <w:rsid w:val="00D939EC"/>
    <w:rsid w:val="00D9414B"/>
    <w:rsid w:val="00DA0DC8"/>
    <w:rsid w:val="00DA35C3"/>
    <w:rsid w:val="00DA6C0C"/>
    <w:rsid w:val="00DB4925"/>
    <w:rsid w:val="00DB7047"/>
    <w:rsid w:val="00DC36FB"/>
    <w:rsid w:val="00DC6745"/>
    <w:rsid w:val="00DF1ACF"/>
    <w:rsid w:val="00E03884"/>
    <w:rsid w:val="00E05A5E"/>
    <w:rsid w:val="00E21506"/>
    <w:rsid w:val="00E31DB9"/>
    <w:rsid w:val="00E32DD0"/>
    <w:rsid w:val="00E41172"/>
    <w:rsid w:val="00E50AA3"/>
    <w:rsid w:val="00E545A7"/>
    <w:rsid w:val="00E5636C"/>
    <w:rsid w:val="00E63842"/>
    <w:rsid w:val="00E70303"/>
    <w:rsid w:val="00E70405"/>
    <w:rsid w:val="00E764A2"/>
    <w:rsid w:val="00E80CB3"/>
    <w:rsid w:val="00EA4B8F"/>
    <w:rsid w:val="00EB5950"/>
    <w:rsid w:val="00EC206F"/>
    <w:rsid w:val="00EC3746"/>
    <w:rsid w:val="00ED0814"/>
    <w:rsid w:val="00ED2D1C"/>
    <w:rsid w:val="00ED7104"/>
    <w:rsid w:val="00EF7069"/>
    <w:rsid w:val="00F03566"/>
    <w:rsid w:val="00F07594"/>
    <w:rsid w:val="00F2718B"/>
    <w:rsid w:val="00F3136D"/>
    <w:rsid w:val="00F3637B"/>
    <w:rsid w:val="00F36FF4"/>
    <w:rsid w:val="00F41A5A"/>
    <w:rsid w:val="00F51A1E"/>
    <w:rsid w:val="00F5578A"/>
    <w:rsid w:val="00F578B7"/>
    <w:rsid w:val="00F66292"/>
    <w:rsid w:val="00F678D5"/>
    <w:rsid w:val="00F716AB"/>
    <w:rsid w:val="00F769EB"/>
    <w:rsid w:val="00F851A3"/>
    <w:rsid w:val="00F97A93"/>
    <w:rsid w:val="00FA4639"/>
    <w:rsid w:val="00FA6B2E"/>
    <w:rsid w:val="00FA75C8"/>
    <w:rsid w:val="00FB3363"/>
    <w:rsid w:val="00FB52DE"/>
    <w:rsid w:val="00FB5833"/>
    <w:rsid w:val="00FC6017"/>
    <w:rsid w:val="00FD12C4"/>
    <w:rsid w:val="00FD2E0E"/>
    <w:rsid w:val="00FE28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E7126"/>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A869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69B6"/>
    <w:rPr>
      <w:sz w:val="20"/>
      <w:szCs w:val="20"/>
    </w:rPr>
  </w:style>
  <w:style w:type="character" w:styleId="Appelnotedebasdep">
    <w:name w:val="footnote reference"/>
    <w:basedOn w:val="Policepardfaut"/>
    <w:uiPriority w:val="99"/>
    <w:semiHidden/>
    <w:unhideWhenUsed/>
    <w:rsid w:val="00A869B6"/>
    <w:rPr>
      <w:vertAlign w:val="superscript"/>
    </w:rPr>
  </w:style>
  <w:style w:type="character" w:customStyle="1" w:styleId="ilfuvd">
    <w:name w:val="ilfuvd"/>
    <w:basedOn w:val="Policepardfaut"/>
    <w:rsid w:val="00FB52DE"/>
  </w:style>
  <w:style w:type="paragraph" w:styleId="En-tte">
    <w:name w:val="header"/>
    <w:basedOn w:val="Normal"/>
    <w:link w:val="En-tteCar"/>
    <w:uiPriority w:val="99"/>
    <w:unhideWhenUsed/>
    <w:rsid w:val="00D136C0"/>
    <w:pPr>
      <w:tabs>
        <w:tab w:val="center" w:pos="4536"/>
        <w:tab w:val="right" w:pos="9072"/>
      </w:tabs>
      <w:spacing w:after="0" w:line="240" w:lineRule="auto"/>
    </w:pPr>
  </w:style>
  <w:style w:type="character" w:customStyle="1" w:styleId="En-tteCar">
    <w:name w:val="En-tête Car"/>
    <w:basedOn w:val="Policepardfaut"/>
    <w:link w:val="En-tte"/>
    <w:uiPriority w:val="99"/>
    <w:rsid w:val="00D136C0"/>
  </w:style>
  <w:style w:type="paragraph" w:styleId="Pieddepage">
    <w:name w:val="footer"/>
    <w:basedOn w:val="Normal"/>
    <w:link w:val="PieddepageCar"/>
    <w:uiPriority w:val="99"/>
    <w:unhideWhenUsed/>
    <w:rsid w:val="00D136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6C0"/>
  </w:style>
</w:styles>
</file>

<file path=word/webSettings.xml><?xml version="1.0" encoding="utf-8"?>
<w:webSettings xmlns:r="http://schemas.openxmlformats.org/officeDocument/2006/relationships" xmlns:w="http://schemas.openxmlformats.org/wordprocessingml/2006/main">
  <w:divs>
    <w:div w:id="151147935">
      <w:bodyDiv w:val="1"/>
      <w:marLeft w:val="0"/>
      <w:marRight w:val="0"/>
      <w:marTop w:val="0"/>
      <w:marBottom w:val="0"/>
      <w:divBdr>
        <w:top w:val="none" w:sz="0" w:space="0" w:color="auto"/>
        <w:left w:val="none" w:sz="0" w:space="0" w:color="auto"/>
        <w:bottom w:val="none" w:sz="0" w:space="0" w:color="auto"/>
        <w:right w:val="none" w:sz="0" w:space="0" w:color="auto"/>
      </w:divBdr>
    </w:div>
    <w:div w:id="11034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AA61-AE7B-4715-A094-CCED37BE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9477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Victor</cp:lastModifiedBy>
  <cp:revision>2</cp:revision>
  <dcterms:created xsi:type="dcterms:W3CDTF">2024-05-10T08:04:00Z</dcterms:created>
  <dcterms:modified xsi:type="dcterms:W3CDTF">2024-05-10T08:04:00Z</dcterms:modified>
</cp:coreProperties>
</file>