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02D" w:rsidRPr="00B100E0" w:rsidRDefault="003D702D" w:rsidP="00B100E0">
      <w:pPr>
        <w:spacing w:after="240" w:line="240" w:lineRule="auto"/>
        <w:jc w:val="center"/>
        <w:rPr>
          <w:rFonts w:ascii="Times New Roman" w:hAnsi="Times New Roman"/>
          <w:b/>
          <w:sz w:val="112"/>
          <w:szCs w:val="112"/>
        </w:rPr>
      </w:pPr>
      <w:r w:rsidRPr="00B100E0">
        <w:rPr>
          <w:rFonts w:ascii="Times New Roman" w:hAnsi="Times New Roman"/>
          <w:b/>
          <w:sz w:val="112"/>
          <w:szCs w:val="112"/>
        </w:rPr>
        <w:t>L'Arnaque du financement</w:t>
      </w:r>
    </w:p>
    <w:p w:rsidR="003D702D" w:rsidRPr="00B100E0" w:rsidRDefault="003D702D" w:rsidP="00B100E0">
      <w:pPr>
        <w:spacing w:after="240" w:line="240" w:lineRule="auto"/>
        <w:jc w:val="center"/>
        <w:rPr>
          <w:rFonts w:ascii="Times New Roman" w:hAnsi="Times New Roman"/>
          <w:b/>
          <w:sz w:val="112"/>
          <w:szCs w:val="112"/>
        </w:rPr>
      </w:pPr>
      <w:r w:rsidRPr="00B100E0">
        <w:rPr>
          <w:rFonts w:ascii="Times New Roman" w:hAnsi="Times New Roman"/>
          <w:b/>
          <w:sz w:val="112"/>
          <w:szCs w:val="112"/>
        </w:rPr>
        <w:t>du GPSO en</w:t>
      </w:r>
    </w:p>
    <w:p w:rsidR="003D702D" w:rsidRPr="00B100E0" w:rsidRDefault="003D702D" w:rsidP="00B100E0">
      <w:pPr>
        <w:spacing w:after="240" w:line="240" w:lineRule="auto"/>
        <w:jc w:val="center"/>
        <w:rPr>
          <w:rFonts w:ascii="Times New Roman" w:hAnsi="Times New Roman"/>
          <w:b/>
          <w:sz w:val="112"/>
          <w:szCs w:val="112"/>
        </w:rPr>
      </w:pPr>
      <w:r w:rsidRPr="00B100E0">
        <w:rPr>
          <w:rFonts w:ascii="Times New Roman" w:hAnsi="Times New Roman"/>
          <w:b/>
          <w:sz w:val="112"/>
          <w:szCs w:val="112"/>
        </w:rPr>
        <w:t>"société de projet"</w:t>
      </w:r>
    </w:p>
    <w:p w:rsidR="003D702D" w:rsidRPr="00B100E0" w:rsidRDefault="003D702D" w:rsidP="00B100E0">
      <w:pPr>
        <w:keepNext/>
        <w:keepLines/>
        <w:spacing w:before="360" w:after="360" w:line="240" w:lineRule="auto"/>
        <w:ind w:left="454"/>
        <w:jc w:val="center"/>
        <w:outlineLvl w:val="0"/>
        <w:rPr>
          <w:rFonts w:ascii="Cambria" w:hAnsi="Cambria"/>
          <w:b/>
          <w:bCs/>
          <w:sz w:val="28"/>
          <w:szCs w:val="28"/>
        </w:rPr>
      </w:pPr>
      <w:r w:rsidRPr="001F2C65">
        <w:rPr>
          <w:rFonts w:ascii="Cambria" w:hAnsi="Cambria"/>
          <w:b/>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317.25pt;height:267pt;visibility:visible">
            <v:imagedata r:id="rId7" o:title="" grayscale="t"/>
          </v:shape>
        </w:pict>
      </w:r>
    </w:p>
    <w:p w:rsidR="003D702D" w:rsidRPr="00B100E0" w:rsidRDefault="003D702D" w:rsidP="00B100E0">
      <w:pPr>
        <w:spacing w:after="240" w:line="240" w:lineRule="auto"/>
        <w:jc w:val="both"/>
        <w:rPr>
          <w:rFonts w:ascii="Corbel" w:hAnsi="Corbel"/>
          <w:sz w:val="24"/>
        </w:rPr>
      </w:pPr>
    </w:p>
    <w:p w:rsidR="003D702D" w:rsidRPr="00B100E0" w:rsidRDefault="003D702D" w:rsidP="00B100E0">
      <w:pPr>
        <w:spacing w:after="240" w:line="240" w:lineRule="auto"/>
        <w:jc w:val="both"/>
        <w:rPr>
          <w:rFonts w:ascii="Corbel" w:hAnsi="Corbel"/>
          <w:sz w:val="24"/>
        </w:rPr>
      </w:pPr>
    </w:p>
    <w:p w:rsidR="003D702D" w:rsidRPr="00B100E0" w:rsidRDefault="003D702D" w:rsidP="00B100E0">
      <w:pPr>
        <w:spacing w:after="240" w:line="240" w:lineRule="auto"/>
        <w:jc w:val="both"/>
        <w:rPr>
          <w:rFonts w:ascii="Corbel" w:hAnsi="Corbel"/>
          <w:sz w:val="24"/>
        </w:rPr>
      </w:pPr>
    </w:p>
    <w:p w:rsidR="003D702D" w:rsidRPr="00B100E0" w:rsidRDefault="003D702D" w:rsidP="00B100E0">
      <w:pPr>
        <w:spacing w:after="240" w:line="240" w:lineRule="auto"/>
        <w:jc w:val="right"/>
        <w:rPr>
          <w:rFonts w:ascii="Times New Roman" w:hAnsi="Times New Roman"/>
          <w:b/>
          <w:i/>
          <w:sz w:val="32"/>
          <w:szCs w:val="32"/>
        </w:rPr>
      </w:pPr>
      <w:r w:rsidRPr="00B100E0">
        <w:rPr>
          <w:rFonts w:ascii="Times New Roman" w:hAnsi="Times New Roman"/>
          <w:b/>
          <w:i/>
          <w:sz w:val="32"/>
          <w:szCs w:val="32"/>
        </w:rPr>
        <w:t>CADE Avril 2020</w:t>
      </w:r>
    </w:p>
    <w:p w:rsidR="003D702D" w:rsidRPr="00F90F8C" w:rsidRDefault="003D702D" w:rsidP="00B100E0">
      <w:pPr>
        <w:pStyle w:val="ListParagraph"/>
        <w:numPr>
          <w:ilvl w:val="0"/>
          <w:numId w:val="2"/>
        </w:numPr>
        <w:jc w:val="both"/>
        <w:rPr>
          <w:b/>
          <w:sz w:val="28"/>
          <w:szCs w:val="28"/>
        </w:rPr>
      </w:pPr>
      <w:r w:rsidRPr="00F90F8C">
        <w:rPr>
          <w:b/>
          <w:sz w:val="28"/>
          <w:szCs w:val="28"/>
        </w:rPr>
        <w:t>Introduction</w:t>
      </w:r>
    </w:p>
    <w:p w:rsidR="003D702D" w:rsidRPr="00B100E0" w:rsidRDefault="003D702D" w:rsidP="00B100E0">
      <w:pPr>
        <w:jc w:val="both"/>
        <w:rPr>
          <w:sz w:val="24"/>
          <w:szCs w:val="24"/>
        </w:rPr>
      </w:pPr>
      <w:r w:rsidRPr="00B100E0">
        <w:rPr>
          <w:sz w:val="24"/>
          <w:szCs w:val="24"/>
        </w:rPr>
        <w:t>La dette abyssale de la SNCF imposait aux irréductibles de ces GPII (Grands Projets Inutiles et Imposés) que sont les lignes ferroviaires à grande vitesse  (LGV) d’inventer de nouvelles ingénieries de financement pour alimenter leurs rêves.</w:t>
      </w:r>
    </w:p>
    <w:p w:rsidR="003D702D" w:rsidRPr="00B100E0" w:rsidRDefault="003D702D" w:rsidP="00B100E0">
      <w:pPr>
        <w:jc w:val="both"/>
        <w:rPr>
          <w:sz w:val="24"/>
          <w:szCs w:val="24"/>
        </w:rPr>
      </w:pPr>
      <w:r w:rsidRPr="00B100E0">
        <w:rPr>
          <w:sz w:val="24"/>
          <w:szCs w:val="24"/>
        </w:rPr>
        <w:t>Les projets de ligne ferroviaire à grande vitesse  nécessitent de lourds investissements qui sont incompatibles avec la dette colossale de la SNCF qui s'élevait à 46,6 milliards d’eur</w:t>
      </w:r>
      <w:r>
        <w:rPr>
          <w:sz w:val="24"/>
          <w:szCs w:val="24"/>
        </w:rPr>
        <w:t>os fin 2017 et dont l’Etat en a</w:t>
      </w:r>
      <w:r w:rsidRPr="00B100E0">
        <w:rPr>
          <w:sz w:val="24"/>
          <w:szCs w:val="24"/>
        </w:rPr>
        <w:t xml:space="preserve"> repris</w:t>
      </w:r>
      <w:r>
        <w:rPr>
          <w:sz w:val="24"/>
          <w:szCs w:val="24"/>
        </w:rPr>
        <w:t xml:space="preserve"> à son compte</w:t>
      </w:r>
      <w:r w:rsidRPr="00B100E0">
        <w:rPr>
          <w:sz w:val="24"/>
          <w:szCs w:val="24"/>
        </w:rPr>
        <w:t xml:space="preserve"> 35 milliards malgré un endettement prodigieux.</w:t>
      </w:r>
    </w:p>
    <w:p w:rsidR="003D702D" w:rsidRPr="00B100E0" w:rsidRDefault="003D702D" w:rsidP="00B100E0">
      <w:pPr>
        <w:jc w:val="both"/>
        <w:rPr>
          <w:sz w:val="24"/>
          <w:szCs w:val="24"/>
        </w:rPr>
      </w:pPr>
      <w:r w:rsidRPr="00B100E0">
        <w:rPr>
          <w:sz w:val="24"/>
          <w:szCs w:val="24"/>
        </w:rPr>
        <w:t>Seuls quelques irréductibles continuent à promouvoir la construction de nouvelles LGV, certainement séduits par l’aspect grands chantiers de BTP plutôt que par le caractère ferroviaire de ces projets.</w:t>
      </w:r>
    </w:p>
    <w:p w:rsidR="003D702D" w:rsidRPr="00B100E0" w:rsidRDefault="003D702D" w:rsidP="00B100E0">
      <w:pPr>
        <w:jc w:val="both"/>
        <w:rPr>
          <w:sz w:val="24"/>
          <w:szCs w:val="24"/>
        </w:rPr>
      </w:pPr>
      <w:r w:rsidRPr="00B100E0">
        <w:rPr>
          <w:sz w:val="24"/>
          <w:szCs w:val="24"/>
        </w:rPr>
        <w:t>Alors, pour essayer de détourner l’attention sur le fait que l’endettement de la SNCF ne permet plus un investissement de l’État dans de telles grandes infrastructures on vante les mérites de sources et moyens de financement innovants.</w:t>
      </w:r>
    </w:p>
    <w:p w:rsidR="003D702D" w:rsidRPr="00B100E0" w:rsidRDefault="003D702D" w:rsidP="00B100E0">
      <w:pPr>
        <w:jc w:val="both"/>
        <w:rPr>
          <w:sz w:val="24"/>
          <w:szCs w:val="24"/>
        </w:rPr>
      </w:pPr>
      <w:r w:rsidRPr="00B100E0">
        <w:rPr>
          <w:sz w:val="24"/>
          <w:szCs w:val="24"/>
        </w:rPr>
        <w:t>Ne l’a-t-on pas déjà fait quand à la LGV Tours-Bordeaux ?</w:t>
      </w:r>
    </w:p>
    <w:p w:rsidR="003D702D" w:rsidRPr="00B100E0" w:rsidRDefault="003D702D" w:rsidP="00B100E0">
      <w:pPr>
        <w:jc w:val="both"/>
        <w:rPr>
          <w:sz w:val="24"/>
          <w:szCs w:val="24"/>
        </w:rPr>
      </w:pPr>
      <w:r w:rsidRPr="00B100E0">
        <w:rPr>
          <w:sz w:val="24"/>
          <w:szCs w:val="24"/>
        </w:rPr>
        <w:t>Mais ne nous y trompons pas c’est l’endettement du pays qui, de toute façon, est subordonné au développement de ces projets et non pas le transport au quotidien.</w:t>
      </w:r>
    </w:p>
    <w:p w:rsidR="003D702D" w:rsidRPr="00B100E0" w:rsidRDefault="003D702D" w:rsidP="00B100E0">
      <w:pPr>
        <w:jc w:val="both"/>
        <w:rPr>
          <w:sz w:val="24"/>
          <w:szCs w:val="24"/>
        </w:rPr>
      </w:pPr>
      <w:r w:rsidRPr="00B100E0">
        <w:rPr>
          <w:sz w:val="24"/>
          <w:szCs w:val="24"/>
        </w:rPr>
        <w:t>Analysons ces nouvelles ingénieries financières.</w:t>
      </w:r>
    </w:p>
    <w:p w:rsidR="003D702D" w:rsidRDefault="003D702D" w:rsidP="00B100E0">
      <w:pPr>
        <w:pStyle w:val="ListParagraph"/>
        <w:numPr>
          <w:ilvl w:val="0"/>
          <w:numId w:val="2"/>
        </w:numPr>
        <w:spacing w:after="240" w:line="240" w:lineRule="auto"/>
        <w:jc w:val="both"/>
        <w:rPr>
          <w:b/>
          <w:sz w:val="28"/>
          <w:szCs w:val="28"/>
        </w:rPr>
      </w:pPr>
      <w:r w:rsidRPr="00F90F8C">
        <w:rPr>
          <w:b/>
          <w:sz w:val="28"/>
          <w:szCs w:val="28"/>
        </w:rPr>
        <w:t>Après les PPP pour Tours Bordeaux</w:t>
      </w:r>
      <w:r>
        <w:rPr>
          <w:b/>
          <w:sz w:val="28"/>
          <w:szCs w:val="28"/>
        </w:rPr>
        <w:t>,</w:t>
      </w:r>
      <w:r w:rsidRPr="00F90F8C">
        <w:rPr>
          <w:b/>
          <w:sz w:val="28"/>
          <w:szCs w:val="28"/>
        </w:rPr>
        <w:t xml:space="preserve"> les sociétés de projet</w:t>
      </w:r>
    </w:p>
    <w:p w:rsidR="003D702D" w:rsidRPr="00F90F8C" w:rsidRDefault="003D702D" w:rsidP="00B100E0">
      <w:pPr>
        <w:pStyle w:val="ListParagraph"/>
        <w:spacing w:after="240" w:line="240" w:lineRule="auto"/>
        <w:jc w:val="both"/>
        <w:rPr>
          <w:b/>
          <w:sz w:val="28"/>
          <w:szCs w:val="28"/>
        </w:rPr>
      </w:pPr>
    </w:p>
    <w:p w:rsidR="003D702D" w:rsidRDefault="003D702D" w:rsidP="00B100E0">
      <w:pPr>
        <w:pStyle w:val="ListParagraph"/>
        <w:jc w:val="both"/>
        <w:rPr>
          <w:b/>
          <w:sz w:val="24"/>
          <w:szCs w:val="24"/>
        </w:rPr>
      </w:pPr>
      <w:r>
        <w:rPr>
          <w:b/>
          <w:sz w:val="24"/>
          <w:szCs w:val="24"/>
        </w:rPr>
        <w:t>2.</w:t>
      </w:r>
      <w:r w:rsidRPr="00F90F8C">
        <w:rPr>
          <w:b/>
          <w:sz w:val="24"/>
          <w:szCs w:val="24"/>
        </w:rPr>
        <w:t>1 Les Partenariats Public Privé</w:t>
      </w:r>
      <w:r>
        <w:rPr>
          <w:b/>
          <w:sz w:val="24"/>
          <w:szCs w:val="24"/>
        </w:rPr>
        <w:t xml:space="preserve"> (PPP)</w:t>
      </w:r>
    </w:p>
    <w:p w:rsidR="003D702D" w:rsidRPr="00D07800" w:rsidRDefault="003D702D" w:rsidP="00B100E0">
      <w:pPr>
        <w:spacing w:after="240" w:line="240" w:lineRule="auto"/>
        <w:jc w:val="both"/>
        <w:rPr>
          <w:sz w:val="24"/>
          <w:szCs w:val="24"/>
        </w:rPr>
      </w:pPr>
      <w:r w:rsidRPr="00D07800">
        <w:rPr>
          <w:sz w:val="24"/>
          <w:szCs w:val="24"/>
        </w:rPr>
        <w:t>Les premières trouvailles ont été mises au point pour la LGV Tours-Bordeaux</w:t>
      </w:r>
      <w:r w:rsidRPr="00933063">
        <w:rPr>
          <w:sz w:val="24"/>
          <w:szCs w:val="24"/>
        </w:rPr>
        <w:t>.</w:t>
      </w:r>
      <w:r w:rsidRPr="00D07800">
        <w:rPr>
          <w:sz w:val="24"/>
          <w:szCs w:val="24"/>
        </w:rPr>
        <w:t xml:space="preserve"> </w:t>
      </w:r>
    </w:p>
    <w:p w:rsidR="003D702D" w:rsidRPr="00933063" w:rsidRDefault="003D702D" w:rsidP="00B100E0">
      <w:pPr>
        <w:jc w:val="both"/>
        <w:rPr>
          <w:sz w:val="24"/>
          <w:szCs w:val="24"/>
        </w:rPr>
      </w:pPr>
      <w:r w:rsidRPr="00933063">
        <w:rPr>
          <w:sz w:val="24"/>
          <w:szCs w:val="24"/>
        </w:rPr>
        <w:t xml:space="preserve">Pendant des années, l’Etat nous a vanté les mérites des PPP. La Région Aquitaine  a participé au financement du tronçon Tours-Bordeaux bien que son président Alain Rousset déclarait en 2012 </w:t>
      </w:r>
      <w:r w:rsidRPr="00933063">
        <w:rPr>
          <w:b/>
          <w:i/>
          <w:sz w:val="24"/>
          <w:szCs w:val="24"/>
        </w:rPr>
        <w:t>« Je suis quasiment partout contre les PPP </w:t>
      </w:r>
      <w:r w:rsidRPr="00933063">
        <w:rPr>
          <w:rStyle w:val="FootnoteReference"/>
          <w:sz w:val="24"/>
          <w:szCs w:val="24"/>
        </w:rPr>
        <w:footnoteReference w:id="1"/>
      </w:r>
      <w:r w:rsidRPr="00933063">
        <w:rPr>
          <w:b/>
          <w:i/>
          <w:sz w:val="24"/>
          <w:szCs w:val="24"/>
        </w:rPr>
        <w:t>».</w:t>
      </w:r>
      <w:r w:rsidRPr="00933063">
        <w:rPr>
          <w:sz w:val="24"/>
          <w:szCs w:val="24"/>
        </w:rPr>
        <w:t xml:space="preserve"> </w:t>
      </w:r>
    </w:p>
    <w:p w:rsidR="003D702D" w:rsidRPr="00933063" w:rsidRDefault="003D702D" w:rsidP="00B100E0">
      <w:pPr>
        <w:jc w:val="both"/>
        <w:rPr>
          <w:sz w:val="24"/>
          <w:szCs w:val="24"/>
        </w:rPr>
      </w:pPr>
      <w:r w:rsidRPr="00933063">
        <w:rPr>
          <w:sz w:val="24"/>
          <w:szCs w:val="24"/>
        </w:rPr>
        <w:t xml:space="preserve">Ce n’est qu’après avoir conclu le contrat de PPP qu’Alain Rousset a fustigé </w:t>
      </w:r>
      <w:r>
        <w:rPr>
          <w:sz w:val="24"/>
          <w:szCs w:val="24"/>
        </w:rPr>
        <w:t>ce mode de financement</w:t>
      </w:r>
      <w:r w:rsidRPr="00933063">
        <w:rPr>
          <w:sz w:val="24"/>
          <w:szCs w:val="24"/>
        </w:rPr>
        <w:t xml:space="preserve"> où </w:t>
      </w:r>
      <w:r w:rsidRPr="00933063">
        <w:rPr>
          <w:i/>
          <w:sz w:val="24"/>
          <w:szCs w:val="24"/>
        </w:rPr>
        <w:t>« le contribuable se fait plumer »</w:t>
      </w:r>
      <w:r w:rsidRPr="00933063">
        <w:rPr>
          <w:sz w:val="24"/>
          <w:szCs w:val="24"/>
        </w:rPr>
        <w:t xml:space="preserve">. Il a notamment reconnu que c'était le cas pour la LGV Tours-Bordeaux avec Vinci, qui doit dégager 14 % de rentabilité. </w:t>
      </w:r>
      <w:r w:rsidRPr="00933063">
        <w:rPr>
          <w:i/>
          <w:sz w:val="24"/>
          <w:szCs w:val="24"/>
        </w:rPr>
        <w:t>« Il nous faut un autre modèle et faire davantage appel à la société civile »</w:t>
      </w:r>
      <w:r w:rsidRPr="00933063">
        <w:rPr>
          <w:sz w:val="24"/>
          <w:szCs w:val="24"/>
          <w:vertAlign w:val="superscript"/>
        </w:rPr>
        <w:footnoteReference w:id="2"/>
      </w:r>
      <w:r>
        <w:rPr>
          <w:i/>
          <w:sz w:val="24"/>
          <w:szCs w:val="24"/>
        </w:rPr>
        <w:t xml:space="preserve"> </w:t>
      </w:r>
      <w:r w:rsidRPr="009F3256">
        <w:rPr>
          <w:sz w:val="24"/>
          <w:szCs w:val="24"/>
        </w:rPr>
        <w:t>en</w:t>
      </w:r>
      <w:r>
        <w:rPr>
          <w:i/>
          <w:sz w:val="24"/>
          <w:szCs w:val="24"/>
        </w:rPr>
        <w:t xml:space="preserve">  </w:t>
      </w:r>
      <w:r w:rsidRPr="009F3256">
        <w:rPr>
          <w:sz w:val="24"/>
          <w:szCs w:val="24"/>
        </w:rPr>
        <w:t>conclut-il</w:t>
      </w:r>
      <w:r w:rsidRPr="00933063">
        <w:rPr>
          <w:sz w:val="24"/>
          <w:szCs w:val="24"/>
        </w:rPr>
        <w:t>.</w:t>
      </w:r>
    </w:p>
    <w:p w:rsidR="003D702D" w:rsidRPr="00933063" w:rsidRDefault="003D702D" w:rsidP="00B100E0">
      <w:pPr>
        <w:jc w:val="both"/>
        <w:rPr>
          <w:sz w:val="24"/>
          <w:szCs w:val="24"/>
        </w:rPr>
      </w:pPr>
      <w:r w:rsidRPr="00933063">
        <w:rPr>
          <w:sz w:val="24"/>
          <w:szCs w:val="24"/>
        </w:rPr>
        <w:t xml:space="preserve">Mais n’oublions pas que le Conseil Régional d’Aquitaine </w:t>
      </w:r>
      <w:r>
        <w:rPr>
          <w:sz w:val="24"/>
          <w:szCs w:val="24"/>
        </w:rPr>
        <w:t xml:space="preserve">avait promu ce projet, dès 2008, qui </w:t>
      </w:r>
      <w:r w:rsidRPr="00933063">
        <w:rPr>
          <w:sz w:val="24"/>
          <w:szCs w:val="24"/>
        </w:rPr>
        <w:t xml:space="preserve">devait  créer  100.000 emplois </w:t>
      </w:r>
      <w:r w:rsidRPr="00933063">
        <w:rPr>
          <w:sz w:val="24"/>
          <w:szCs w:val="24"/>
          <w:vertAlign w:val="superscript"/>
        </w:rPr>
        <w:footnoteReference w:id="3"/>
      </w:r>
      <w:r w:rsidRPr="00933063">
        <w:rPr>
          <w:sz w:val="24"/>
          <w:szCs w:val="24"/>
        </w:rPr>
        <w:t xml:space="preserve"> (mais seuls 5000 seront réellement recensés). Les 25 octobre et 20 décembre 2010 il acceptait une modification du projet de convention et de financement de la LGV SEA</w:t>
      </w:r>
      <w:r w:rsidRPr="00933063">
        <w:rPr>
          <w:sz w:val="24"/>
          <w:szCs w:val="24"/>
          <w:vertAlign w:val="superscript"/>
        </w:rPr>
        <w:footnoteReference w:id="4"/>
      </w:r>
      <w:r w:rsidRPr="00933063">
        <w:rPr>
          <w:sz w:val="24"/>
          <w:szCs w:val="24"/>
        </w:rPr>
        <w:t>.</w:t>
      </w:r>
    </w:p>
    <w:p w:rsidR="003D702D" w:rsidRPr="00933063" w:rsidRDefault="003D702D" w:rsidP="00B100E0">
      <w:pPr>
        <w:jc w:val="both"/>
        <w:rPr>
          <w:sz w:val="24"/>
          <w:szCs w:val="24"/>
        </w:rPr>
      </w:pPr>
      <w:r w:rsidRPr="00933063">
        <w:rPr>
          <w:sz w:val="24"/>
          <w:szCs w:val="24"/>
        </w:rPr>
        <w:t xml:space="preserve">De son côté, Carole Delga à la tête de la région Occitanie  proclame </w:t>
      </w:r>
      <w:r w:rsidRPr="00933063">
        <w:rPr>
          <w:i/>
          <w:sz w:val="24"/>
          <w:szCs w:val="24"/>
        </w:rPr>
        <w:t>« Le partenariat public-privé, comme il a été engagé pour le chantier Tours-Bordeaux, n’est pour moi une option qui n’est pas envisageable.</w:t>
      </w:r>
      <w:r w:rsidRPr="00933063">
        <w:rPr>
          <w:rStyle w:val="FootnoteReference"/>
          <w:sz w:val="24"/>
          <w:szCs w:val="24"/>
        </w:rPr>
        <w:t xml:space="preserve"> </w:t>
      </w:r>
      <w:r w:rsidRPr="00933063">
        <w:rPr>
          <w:rStyle w:val="FootnoteReference"/>
          <w:sz w:val="24"/>
          <w:szCs w:val="24"/>
        </w:rPr>
        <w:footnoteReference w:id="5"/>
      </w:r>
      <w:r w:rsidRPr="00933063">
        <w:rPr>
          <w:i/>
          <w:sz w:val="24"/>
          <w:szCs w:val="24"/>
        </w:rPr>
        <w:t> »</w:t>
      </w:r>
      <w:r w:rsidRPr="00933063">
        <w:rPr>
          <w:sz w:val="24"/>
          <w:szCs w:val="24"/>
        </w:rPr>
        <w:t xml:space="preserve"> </w:t>
      </w:r>
    </w:p>
    <w:p w:rsidR="003D702D" w:rsidRPr="00933063" w:rsidRDefault="003D702D" w:rsidP="00B100E0">
      <w:pPr>
        <w:jc w:val="both"/>
        <w:rPr>
          <w:sz w:val="24"/>
          <w:szCs w:val="24"/>
        </w:rPr>
      </w:pPr>
      <w:r w:rsidRPr="00933063">
        <w:rPr>
          <w:sz w:val="24"/>
          <w:szCs w:val="24"/>
        </w:rPr>
        <w:t xml:space="preserve">Après l’intervention pressante des présidents des régions Nouvelle Aquitaine et Occitanie, des maires de Bordeaux et de Toulouse, le Sénat vote un amendement à la loi LOM, le 20 mars 2019, fixant </w:t>
      </w:r>
      <w:r w:rsidRPr="00933063">
        <w:rPr>
          <w:i/>
          <w:iCs/>
          <w:sz w:val="24"/>
          <w:szCs w:val="24"/>
        </w:rPr>
        <w:t xml:space="preserve">« comme priorité nationale la possibilité de mise en œuvre de sociétés de financement pour accélérer la réalisation de grandes infrastructures » </w:t>
      </w:r>
      <w:r w:rsidRPr="00933063">
        <w:rPr>
          <w:iCs/>
          <w:sz w:val="24"/>
          <w:szCs w:val="24"/>
        </w:rPr>
        <w:t>et plus précisément</w:t>
      </w:r>
      <w:r w:rsidRPr="00933063">
        <w:rPr>
          <w:sz w:val="24"/>
          <w:szCs w:val="24"/>
        </w:rPr>
        <w:t xml:space="preserve"> qu’  </w:t>
      </w:r>
      <w:r w:rsidRPr="00933063">
        <w:rPr>
          <w:i/>
          <w:iCs/>
          <w:sz w:val="24"/>
          <w:szCs w:val="24"/>
        </w:rPr>
        <w:t xml:space="preserve">« au regard de l’intérêt structurant du Grand Projet du Sud-Ouest […], cet amendement suggère donc à l’Etat de prioriser la création d’un établissement public dénommé « Société du Grand Projet du Sud-Ouest ». </w:t>
      </w:r>
    </w:p>
    <w:p w:rsidR="003D702D" w:rsidRPr="00933063" w:rsidRDefault="003D702D" w:rsidP="00B100E0">
      <w:pPr>
        <w:jc w:val="both"/>
        <w:rPr>
          <w:sz w:val="24"/>
          <w:szCs w:val="24"/>
        </w:rPr>
      </w:pPr>
      <w:r w:rsidRPr="00933063">
        <w:rPr>
          <w:sz w:val="24"/>
          <w:szCs w:val="24"/>
        </w:rPr>
        <w:t>Le 14 juin, les députés votent à l’unanimité cet amendement.</w:t>
      </w:r>
    </w:p>
    <w:p w:rsidR="003D702D" w:rsidRPr="00933063" w:rsidRDefault="003D702D" w:rsidP="00B100E0">
      <w:pPr>
        <w:jc w:val="both"/>
        <w:rPr>
          <w:sz w:val="24"/>
          <w:szCs w:val="24"/>
        </w:rPr>
      </w:pPr>
      <w:r w:rsidRPr="00933063">
        <w:rPr>
          <w:sz w:val="24"/>
          <w:szCs w:val="24"/>
        </w:rPr>
        <w:t xml:space="preserve">Exit donc les PPP, désormais le financement des LGV ne s’entend qu’à travers </w:t>
      </w:r>
      <w:r w:rsidRPr="00933063">
        <w:rPr>
          <w:b/>
          <w:sz w:val="24"/>
          <w:szCs w:val="24"/>
        </w:rPr>
        <w:t>« une société  de projet »</w:t>
      </w:r>
      <w:r w:rsidRPr="00933063">
        <w:rPr>
          <w:sz w:val="24"/>
          <w:szCs w:val="24"/>
        </w:rPr>
        <w:t>. Les deux présidents de région et Jean-Louis Chauzy, président du CESER</w:t>
      </w:r>
      <w:r w:rsidRPr="00933063">
        <w:rPr>
          <w:rStyle w:val="FootnoteReference"/>
          <w:sz w:val="24"/>
          <w:szCs w:val="24"/>
        </w:rPr>
        <w:footnoteReference w:id="6"/>
      </w:r>
      <w:r w:rsidRPr="00933063">
        <w:rPr>
          <w:sz w:val="24"/>
          <w:szCs w:val="24"/>
        </w:rPr>
        <w:t xml:space="preserve"> Occitanie ont trouvé leur modèle pour financer la LGV Bordeaux-Toulouse et plus largement le GPSO (Grand Projet Ferroviaire du Sud-Ouest). Il s’inspire de la Société de projet du Grand Paris Express (SGP), en charge du développement du Grand Paris express (GPE).</w:t>
      </w:r>
    </w:p>
    <w:p w:rsidR="003D702D" w:rsidRPr="005A49EE" w:rsidRDefault="003D702D" w:rsidP="00B100E0">
      <w:pPr>
        <w:pStyle w:val="ListParagraph"/>
        <w:numPr>
          <w:ilvl w:val="1"/>
          <w:numId w:val="2"/>
        </w:numPr>
        <w:jc w:val="both"/>
        <w:rPr>
          <w:b/>
          <w:sz w:val="24"/>
          <w:szCs w:val="24"/>
        </w:rPr>
      </w:pPr>
      <w:r w:rsidRPr="005A49EE">
        <w:rPr>
          <w:b/>
          <w:sz w:val="24"/>
          <w:szCs w:val="24"/>
        </w:rPr>
        <w:t>Les sociétés de projet</w:t>
      </w:r>
    </w:p>
    <w:p w:rsidR="003D702D" w:rsidRDefault="003D702D" w:rsidP="00B100E0">
      <w:pPr>
        <w:pStyle w:val="ListParagraph"/>
        <w:jc w:val="both"/>
        <w:rPr>
          <w:b/>
          <w:sz w:val="24"/>
          <w:szCs w:val="24"/>
        </w:rPr>
      </w:pPr>
    </w:p>
    <w:p w:rsidR="003D702D" w:rsidRPr="005A49EE" w:rsidRDefault="003D702D" w:rsidP="00B100E0">
      <w:pPr>
        <w:pStyle w:val="ListParagraph"/>
        <w:jc w:val="both"/>
        <w:rPr>
          <w:b/>
          <w:i/>
          <w:sz w:val="24"/>
          <w:szCs w:val="24"/>
        </w:rPr>
      </w:pPr>
      <w:r w:rsidRPr="005A49EE">
        <w:rPr>
          <w:b/>
          <w:i/>
          <w:sz w:val="24"/>
          <w:szCs w:val="24"/>
        </w:rPr>
        <w:t>2.2.1 Définition</w:t>
      </w:r>
    </w:p>
    <w:p w:rsidR="003D702D" w:rsidRPr="00933063" w:rsidRDefault="003D702D" w:rsidP="00B100E0">
      <w:pPr>
        <w:jc w:val="both"/>
        <w:rPr>
          <w:sz w:val="24"/>
          <w:szCs w:val="24"/>
        </w:rPr>
      </w:pPr>
      <w:r w:rsidRPr="00933063">
        <w:rPr>
          <w:sz w:val="24"/>
          <w:szCs w:val="24"/>
        </w:rPr>
        <w:t xml:space="preserve">Pour les besoins du projet, une société </w:t>
      </w:r>
      <w:r w:rsidRPr="00933063">
        <w:rPr>
          <w:i/>
          <w:iCs/>
          <w:sz w:val="24"/>
          <w:szCs w:val="24"/>
        </w:rPr>
        <w:t xml:space="preserve">ad hoc </w:t>
      </w:r>
      <w:r w:rsidRPr="00933063">
        <w:rPr>
          <w:sz w:val="24"/>
          <w:szCs w:val="24"/>
        </w:rPr>
        <w:t xml:space="preserve">est généralement constituée, c’est ce qu’on appelle la </w:t>
      </w:r>
      <w:r w:rsidRPr="00933063">
        <w:rPr>
          <w:rFonts w:cs="Cambria Math"/>
          <w:sz w:val="24"/>
          <w:szCs w:val="24"/>
        </w:rPr>
        <w:t>« </w:t>
      </w:r>
      <w:r w:rsidRPr="00933063">
        <w:rPr>
          <w:sz w:val="24"/>
          <w:szCs w:val="24"/>
        </w:rPr>
        <w:t xml:space="preserve"> société de projet », dont l</w:t>
      </w:r>
      <w:r w:rsidRPr="00933063">
        <w:rPr>
          <w:rFonts w:cs="Calibri"/>
          <w:sz w:val="24"/>
          <w:szCs w:val="24"/>
        </w:rPr>
        <w:t>’</w:t>
      </w:r>
      <w:r w:rsidRPr="00933063">
        <w:rPr>
          <w:sz w:val="24"/>
          <w:szCs w:val="24"/>
        </w:rPr>
        <w:t>objet est de concevoir, de construire et d’exploiter le projet.</w:t>
      </w:r>
    </w:p>
    <w:p w:rsidR="003D702D" w:rsidRPr="00933063" w:rsidRDefault="003D702D" w:rsidP="00B100E0">
      <w:pPr>
        <w:jc w:val="both"/>
        <w:rPr>
          <w:sz w:val="24"/>
          <w:szCs w:val="24"/>
        </w:rPr>
      </w:pPr>
      <w:r w:rsidRPr="00933063">
        <w:rPr>
          <w:sz w:val="24"/>
          <w:szCs w:val="24"/>
        </w:rPr>
        <w:t>Comme le souligne une étude</w:t>
      </w:r>
      <w:r w:rsidRPr="00933063">
        <w:rPr>
          <w:rStyle w:val="FootnoteReference"/>
          <w:sz w:val="24"/>
          <w:szCs w:val="24"/>
        </w:rPr>
        <w:footnoteReference w:id="7"/>
      </w:r>
      <w:r w:rsidRPr="00933063">
        <w:rPr>
          <w:sz w:val="24"/>
          <w:szCs w:val="24"/>
        </w:rPr>
        <w:t xml:space="preserve"> du cabinet GB2A présentée à l’IAE Paris Sorbonne : </w:t>
      </w:r>
    </w:p>
    <w:p w:rsidR="003D702D" w:rsidRPr="00933063" w:rsidRDefault="003D702D" w:rsidP="00B100E0">
      <w:pPr>
        <w:jc w:val="both"/>
        <w:rPr>
          <w:i/>
          <w:sz w:val="24"/>
          <w:szCs w:val="24"/>
        </w:rPr>
      </w:pPr>
      <w:r w:rsidRPr="00933063">
        <w:rPr>
          <w:i/>
          <w:sz w:val="24"/>
          <w:szCs w:val="24"/>
        </w:rPr>
        <w:t>« Cette structure de financement est donc « sans recours », puisqu’en cas de défaillance de la société de projet, les prêteurs n’ont, en principe, pas de recours contre les promoteurs du projet pour obtenir le remboursement des montants prêtés. »</w:t>
      </w:r>
    </w:p>
    <w:p w:rsidR="003D702D" w:rsidRDefault="003D702D" w:rsidP="00B100E0">
      <w:pPr>
        <w:pStyle w:val="ListParagraph"/>
        <w:jc w:val="both"/>
        <w:rPr>
          <w:b/>
          <w:i/>
          <w:sz w:val="24"/>
          <w:szCs w:val="24"/>
        </w:rPr>
      </w:pPr>
      <w:r w:rsidRPr="005A49EE">
        <w:rPr>
          <w:b/>
          <w:i/>
          <w:sz w:val="24"/>
          <w:szCs w:val="24"/>
        </w:rPr>
        <w:t>2.2.2 Le Grand Paris Express</w:t>
      </w:r>
    </w:p>
    <w:p w:rsidR="003D702D" w:rsidRPr="003D46E2" w:rsidRDefault="003D702D" w:rsidP="00B100E0">
      <w:pPr>
        <w:spacing w:after="0" w:line="240" w:lineRule="auto"/>
        <w:jc w:val="both"/>
        <w:rPr>
          <w:sz w:val="24"/>
          <w:szCs w:val="24"/>
          <w:lang w:eastAsia="fr-FR"/>
        </w:rPr>
      </w:pPr>
      <w:r w:rsidRPr="003D46E2">
        <w:rPr>
          <w:sz w:val="24"/>
          <w:szCs w:val="24"/>
          <w:lang w:eastAsia="fr-FR"/>
        </w:rPr>
        <w:t xml:space="preserve">200 km de lignes automatiques, soit autant que le métro actuel, et 68 gares : le Grand Paris Express est le plus grand projet urbain en Europe.  </w:t>
      </w:r>
    </w:p>
    <w:p w:rsidR="003D702D" w:rsidRPr="003D46E2" w:rsidRDefault="003D702D" w:rsidP="00B100E0">
      <w:pPr>
        <w:spacing w:after="0" w:line="240" w:lineRule="auto"/>
        <w:jc w:val="both"/>
        <w:rPr>
          <w:sz w:val="24"/>
          <w:szCs w:val="24"/>
          <w:lang w:eastAsia="fr-FR"/>
        </w:rPr>
      </w:pPr>
    </w:p>
    <w:p w:rsidR="003D702D" w:rsidRPr="003D46E2" w:rsidRDefault="003D702D" w:rsidP="00B100E0">
      <w:pPr>
        <w:spacing w:after="0" w:line="240" w:lineRule="auto"/>
        <w:jc w:val="both"/>
        <w:rPr>
          <w:sz w:val="24"/>
          <w:szCs w:val="24"/>
          <w:lang w:eastAsia="fr-FR"/>
        </w:rPr>
      </w:pPr>
      <w:r w:rsidRPr="003D46E2">
        <w:rPr>
          <w:sz w:val="24"/>
          <w:szCs w:val="24"/>
          <w:lang w:eastAsia="fr-FR"/>
        </w:rPr>
        <w:t>Le nouveau métro traversera les territoires du Grand Paris pour les relier entre eux et à la capitale. Il desservira les grands pôles d’activité (aéroports, centres d’affaires, centres de recherche et universitaires) et les territoires métropolitains aujourd’hui difficiles d’accès. </w:t>
      </w:r>
    </w:p>
    <w:p w:rsidR="003D702D" w:rsidRPr="003D46E2" w:rsidRDefault="003D702D" w:rsidP="00B100E0">
      <w:pPr>
        <w:spacing w:after="0" w:line="240" w:lineRule="auto"/>
        <w:jc w:val="both"/>
        <w:rPr>
          <w:sz w:val="24"/>
          <w:szCs w:val="24"/>
          <w:lang w:eastAsia="fr-FR"/>
        </w:rPr>
      </w:pPr>
    </w:p>
    <w:p w:rsidR="003D702D" w:rsidRPr="003D46E2" w:rsidRDefault="003D702D" w:rsidP="00B100E0">
      <w:pPr>
        <w:spacing w:after="0" w:line="240" w:lineRule="auto"/>
        <w:jc w:val="both"/>
        <w:rPr>
          <w:sz w:val="24"/>
          <w:szCs w:val="24"/>
          <w:lang w:eastAsia="fr-FR"/>
        </w:rPr>
      </w:pPr>
      <w:r w:rsidRPr="003D46E2">
        <w:rPr>
          <w:sz w:val="24"/>
          <w:szCs w:val="24"/>
          <w:lang w:eastAsia="fr-FR"/>
        </w:rPr>
        <w:t xml:space="preserve">Tout au long du réseau, la ville va se transformer et se densifier. </w:t>
      </w:r>
    </w:p>
    <w:p w:rsidR="003D702D" w:rsidRPr="003D46E2" w:rsidRDefault="003D702D" w:rsidP="00B100E0">
      <w:pPr>
        <w:spacing w:after="0" w:line="240" w:lineRule="auto"/>
        <w:jc w:val="both"/>
        <w:rPr>
          <w:sz w:val="24"/>
          <w:szCs w:val="24"/>
          <w:lang w:eastAsia="fr-FR"/>
        </w:rPr>
      </w:pPr>
      <w:r w:rsidRPr="003D46E2">
        <w:rPr>
          <w:sz w:val="24"/>
          <w:szCs w:val="24"/>
          <w:lang w:eastAsia="fr-FR"/>
        </w:rPr>
        <w:t xml:space="preserve">La construction des 68 gares du Grand Paris Express s’accompagne déjà de projets urbains prêts à accueillir des milliers de Franciliens. Neuf projets immobiliers connexes ont été attribués et 26 sont à l’étude. </w:t>
      </w:r>
    </w:p>
    <w:p w:rsidR="003D702D" w:rsidRPr="003D46E2" w:rsidRDefault="003D702D" w:rsidP="00B100E0">
      <w:pPr>
        <w:spacing w:after="0" w:line="240" w:lineRule="auto"/>
        <w:jc w:val="both"/>
        <w:rPr>
          <w:sz w:val="24"/>
          <w:szCs w:val="24"/>
          <w:lang w:eastAsia="fr-FR"/>
        </w:rPr>
      </w:pPr>
    </w:p>
    <w:p w:rsidR="003D702D" w:rsidRPr="003D46E2" w:rsidRDefault="003D702D" w:rsidP="00B100E0">
      <w:pPr>
        <w:spacing w:after="0" w:line="240" w:lineRule="auto"/>
        <w:jc w:val="both"/>
        <w:rPr>
          <w:sz w:val="24"/>
          <w:szCs w:val="24"/>
          <w:lang w:eastAsia="fr-FR"/>
        </w:rPr>
      </w:pPr>
      <w:r w:rsidRPr="003D46E2">
        <w:rPr>
          <w:sz w:val="24"/>
          <w:szCs w:val="24"/>
          <w:lang w:eastAsia="fr-FR"/>
        </w:rPr>
        <w:t>Dans les années à venir, de nouveaux quartiers vont naître, associant logements de toutes catégories, commerces, bureaux et équipements pour répondre aux besoins de la région Capitale. </w:t>
      </w:r>
    </w:p>
    <w:p w:rsidR="003D702D" w:rsidRPr="003D46E2" w:rsidRDefault="003D702D" w:rsidP="00B100E0">
      <w:pPr>
        <w:spacing w:after="0" w:line="240" w:lineRule="auto"/>
        <w:jc w:val="both"/>
        <w:rPr>
          <w:sz w:val="24"/>
          <w:szCs w:val="24"/>
          <w:lang w:eastAsia="fr-FR"/>
        </w:rPr>
      </w:pPr>
    </w:p>
    <w:p w:rsidR="003D702D" w:rsidRPr="003D46E2" w:rsidRDefault="003D702D" w:rsidP="000E36E5">
      <w:pPr>
        <w:spacing w:after="0" w:line="240" w:lineRule="auto"/>
        <w:jc w:val="center"/>
        <w:rPr>
          <w:sz w:val="24"/>
          <w:szCs w:val="24"/>
          <w:lang w:eastAsia="fr-FR"/>
        </w:rPr>
      </w:pPr>
      <w:r w:rsidRPr="001F2C65">
        <w:rPr>
          <w:noProof/>
          <w:sz w:val="24"/>
          <w:szCs w:val="24"/>
          <w:lang w:val="en-US"/>
        </w:rPr>
        <w:pict>
          <v:shape id="Image 4" o:spid="_x0000_i1026" type="#_x0000_t75" style="width:468.75pt;height:351.75pt;visibility:visible">
            <v:imagedata r:id="rId8" o:title=""/>
          </v:shape>
        </w:pict>
      </w:r>
    </w:p>
    <w:p w:rsidR="003D702D" w:rsidRPr="003D46E2" w:rsidRDefault="003D702D" w:rsidP="00B100E0">
      <w:pPr>
        <w:spacing w:after="0" w:line="240" w:lineRule="auto"/>
        <w:jc w:val="both"/>
        <w:rPr>
          <w:sz w:val="24"/>
          <w:szCs w:val="24"/>
          <w:lang w:eastAsia="fr-FR"/>
        </w:rPr>
      </w:pPr>
    </w:p>
    <w:p w:rsidR="003D702D" w:rsidRDefault="003D702D" w:rsidP="00B100E0">
      <w:pPr>
        <w:pStyle w:val="ListParagraph"/>
        <w:jc w:val="both"/>
        <w:rPr>
          <w:b/>
          <w:i/>
          <w:sz w:val="24"/>
          <w:szCs w:val="24"/>
        </w:rPr>
      </w:pPr>
    </w:p>
    <w:p w:rsidR="003D702D" w:rsidRDefault="003D702D" w:rsidP="00B100E0">
      <w:pPr>
        <w:pStyle w:val="ListParagraph"/>
        <w:jc w:val="both"/>
        <w:rPr>
          <w:b/>
          <w:i/>
          <w:sz w:val="24"/>
          <w:szCs w:val="24"/>
        </w:rPr>
      </w:pPr>
    </w:p>
    <w:p w:rsidR="003D702D" w:rsidRDefault="003D702D" w:rsidP="00B100E0">
      <w:pPr>
        <w:pStyle w:val="ListParagraph"/>
        <w:jc w:val="both"/>
        <w:rPr>
          <w:b/>
          <w:i/>
          <w:sz w:val="24"/>
          <w:szCs w:val="24"/>
        </w:rPr>
      </w:pPr>
    </w:p>
    <w:p w:rsidR="003D702D" w:rsidRDefault="003D702D" w:rsidP="00B100E0">
      <w:pPr>
        <w:pStyle w:val="ListParagraph"/>
        <w:jc w:val="both"/>
        <w:rPr>
          <w:b/>
          <w:i/>
          <w:sz w:val="24"/>
          <w:szCs w:val="24"/>
        </w:rPr>
      </w:pPr>
    </w:p>
    <w:p w:rsidR="003D702D" w:rsidRDefault="003D702D" w:rsidP="00B100E0">
      <w:pPr>
        <w:pStyle w:val="ListParagraph"/>
        <w:jc w:val="both"/>
        <w:rPr>
          <w:b/>
          <w:i/>
          <w:sz w:val="24"/>
          <w:szCs w:val="24"/>
        </w:rPr>
      </w:pPr>
    </w:p>
    <w:p w:rsidR="003D702D" w:rsidRPr="005A49EE" w:rsidRDefault="003D702D" w:rsidP="00B100E0">
      <w:pPr>
        <w:pStyle w:val="ListParagraph"/>
        <w:jc w:val="both"/>
        <w:rPr>
          <w:b/>
          <w:i/>
          <w:sz w:val="24"/>
          <w:szCs w:val="24"/>
        </w:rPr>
      </w:pPr>
      <w:r>
        <w:rPr>
          <w:b/>
          <w:i/>
          <w:sz w:val="24"/>
          <w:szCs w:val="24"/>
        </w:rPr>
        <w:t xml:space="preserve">2.2.3 </w:t>
      </w:r>
      <w:r w:rsidRPr="005A49EE">
        <w:rPr>
          <w:b/>
          <w:i/>
          <w:sz w:val="24"/>
          <w:szCs w:val="24"/>
        </w:rPr>
        <w:t>La société du Grand Paris Express (SGP)</w:t>
      </w:r>
      <w:r>
        <w:rPr>
          <w:b/>
          <w:i/>
          <w:sz w:val="24"/>
          <w:szCs w:val="24"/>
        </w:rPr>
        <w:t> : le modèle</w:t>
      </w:r>
    </w:p>
    <w:p w:rsidR="003D702D" w:rsidRPr="00933063" w:rsidRDefault="003D702D" w:rsidP="00B100E0">
      <w:pPr>
        <w:jc w:val="both"/>
        <w:rPr>
          <w:i/>
          <w:sz w:val="24"/>
          <w:szCs w:val="24"/>
        </w:rPr>
      </w:pPr>
      <w:r w:rsidRPr="00933063">
        <w:rPr>
          <w:sz w:val="24"/>
          <w:szCs w:val="24"/>
        </w:rPr>
        <w:t xml:space="preserve">La SGP a pour objectif de </w:t>
      </w:r>
      <w:r w:rsidRPr="00933063">
        <w:rPr>
          <w:i/>
          <w:sz w:val="24"/>
          <w:szCs w:val="24"/>
        </w:rPr>
        <w:t>« concevoir et d'élaborer le schéma d'ensemble et les projets d'infrastructures composant le réseau de transport public du Grand Paris et d'en assurer la réalisation […] ».</w:t>
      </w:r>
    </w:p>
    <w:p w:rsidR="003D702D" w:rsidRDefault="003D702D" w:rsidP="00B100E0">
      <w:pPr>
        <w:pStyle w:val="Default"/>
        <w:jc w:val="both"/>
        <w:rPr>
          <w:rFonts w:ascii="Calibri" w:hAnsi="Calibri"/>
          <w:color w:val="auto"/>
        </w:rPr>
      </w:pPr>
      <w:r w:rsidRPr="00933063">
        <w:rPr>
          <w:rFonts w:ascii="Calibri" w:hAnsi="Calibri"/>
          <w:color w:val="auto"/>
        </w:rPr>
        <w:t>Les informations sur cette société sont extraites du rapport de la Cour des comptes</w:t>
      </w:r>
      <w:r w:rsidRPr="00933063">
        <w:rPr>
          <w:rStyle w:val="FootnoteReference"/>
          <w:rFonts w:ascii="Calibri" w:hAnsi="Calibri" w:cs="Corbel"/>
          <w:color w:val="auto"/>
        </w:rPr>
        <w:footnoteReference w:id="8"/>
      </w:r>
      <w:r w:rsidRPr="00933063">
        <w:rPr>
          <w:rFonts w:ascii="Calibri" w:hAnsi="Calibri"/>
          <w:color w:val="auto"/>
        </w:rPr>
        <w:t xml:space="preserve"> et du rapport</w:t>
      </w:r>
      <w:r w:rsidRPr="00933063">
        <w:rPr>
          <w:rStyle w:val="FootnoteReference"/>
          <w:rFonts w:ascii="Calibri" w:hAnsi="Calibri" w:cs="Corbel"/>
          <w:color w:val="auto"/>
        </w:rPr>
        <w:footnoteReference w:id="9"/>
      </w:r>
      <w:r w:rsidRPr="00933063">
        <w:rPr>
          <w:rFonts w:ascii="Calibri" w:hAnsi="Calibri"/>
          <w:color w:val="auto"/>
        </w:rPr>
        <w:t xml:space="preserve"> du député Gilles Carrez missionné par le Premier Ministre le 12 mars 2018. Comme pour tout projet on constate une dérive de l’estimation du coût :</w:t>
      </w:r>
    </w:p>
    <w:p w:rsidR="003D702D" w:rsidRPr="00933063" w:rsidRDefault="003D702D" w:rsidP="00B100E0">
      <w:pPr>
        <w:pStyle w:val="Default"/>
        <w:jc w:val="both"/>
        <w:rPr>
          <w:rFonts w:ascii="Calibri" w:hAnsi="Calibri"/>
          <w:color w:val="auto"/>
        </w:rPr>
      </w:pPr>
    </w:p>
    <w:p w:rsidR="003D702D" w:rsidRPr="00933063" w:rsidRDefault="003D702D" w:rsidP="00B100E0">
      <w:pPr>
        <w:pStyle w:val="Default"/>
        <w:numPr>
          <w:ilvl w:val="0"/>
          <w:numId w:val="1"/>
        </w:numPr>
        <w:jc w:val="both"/>
        <w:rPr>
          <w:rFonts w:ascii="Calibri" w:hAnsi="Calibri"/>
          <w:color w:val="auto"/>
        </w:rPr>
      </w:pPr>
      <w:r w:rsidRPr="00933063">
        <w:rPr>
          <w:rFonts w:ascii="Calibri" w:hAnsi="Calibri"/>
          <w:color w:val="auto"/>
        </w:rPr>
        <w:t>en 2011 : 20,5 Mds€</w:t>
      </w:r>
      <w:r w:rsidRPr="00933063">
        <w:rPr>
          <w:rFonts w:ascii="Calibri" w:hAnsi="Calibri"/>
          <w:color w:val="auto"/>
          <w:vertAlign w:val="subscript"/>
        </w:rPr>
        <w:t>2008</w:t>
      </w:r>
      <w:r w:rsidRPr="00933063">
        <w:rPr>
          <w:rFonts w:ascii="Calibri" w:hAnsi="Calibri"/>
          <w:color w:val="auto"/>
        </w:rPr>
        <w:t>,</w:t>
      </w:r>
    </w:p>
    <w:p w:rsidR="003D702D" w:rsidRPr="00933063" w:rsidRDefault="003D702D" w:rsidP="00B100E0">
      <w:pPr>
        <w:pStyle w:val="ListParagraph"/>
        <w:numPr>
          <w:ilvl w:val="0"/>
          <w:numId w:val="1"/>
        </w:numPr>
        <w:jc w:val="both"/>
        <w:rPr>
          <w:sz w:val="24"/>
          <w:szCs w:val="24"/>
        </w:rPr>
      </w:pPr>
      <w:r w:rsidRPr="00933063">
        <w:rPr>
          <w:sz w:val="24"/>
          <w:szCs w:val="24"/>
        </w:rPr>
        <w:t>en mars 2013 : 22,6 Mds€</w:t>
      </w:r>
      <w:r w:rsidRPr="00933063">
        <w:rPr>
          <w:sz w:val="24"/>
          <w:szCs w:val="24"/>
          <w:vertAlign w:val="subscript"/>
        </w:rPr>
        <w:t>2012</w:t>
      </w:r>
      <w:r w:rsidRPr="00933063">
        <w:rPr>
          <w:sz w:val="24"/>
          <w:szCs w:val="24"/>
        </w:rPr>
        <w:t xml:space="preserve">, </w:t>
      </w:r>
    </w:p>
    <w:p w:rsidR="003D702D" w:rsidRPr="00933063" w:rsidRDefault="003D702D" w:rsidP="00B100E0">
      <w:pPr>
        <w:pStyle w:val="ListParagraph"/>
        <w:numPr>
          <w:ilvl w:val="0"/>
          <w:numId w:val="1"/>
        </w:numPr>
        <w:jc w:val="both"/>
        <w:rPr>
          <w:sz w:val="24"/>
          <w:szCs w:val="24"/>
        </w:rPr>
      </w:pPr>
      <w:r w:rsidRPr="00933063">
        <w:rPr>
          <w:sz w:val="24"/>
          <w:szCs w:val="24"/>
        </w:rPr>
        <w:t xml:space="preserve">en juillet 2017 </w:t>
      </w:r>
      <w:r w:rsidRPr="00933063">
        <w:rPr>
          <w:b/>
          <w:sz w:val="24"/>
          <w:szCs w:val="24"/>
        </w:rPr>
        <w:t>38,5 Mds€</w:t>
      </w:r>
      <w:r w:rsidRPr="00933063">
        <w:rPr>
          <w:b/>
          <w:sz w:val="24"/>
          <w:szCs w:val="24"/>
          <w:vertAlign w:val="subscript"/>
        </w:rPr>
        <w:t>2012</w:t>
      </w:r>
      <w:r w:rsidRPr="00933063">
        <w:rPr>
          <w:sz w:val="24"/>
          <w:szCs w:val="24"/>
        </w:rPr>
        <w:t xml:space="preserve">, </w:t>
      </w:r>
    </w:p>
    <w:p w:rsidR="003D702D" w:rsidRPr="00933063" w:rsidRDefault="003D702D" w:rsidP="00B100E0">
      <w:pPr>
        <w:jc w:val="both"/>
        <w:rPr>
          <w:sz w:val="24"/>
          <w:szCs w:val="24"/>
        </w:rPr>
      </w:pPr>
      <w:r w:rsidRPr="00933063">
        <w:rPr>
          <w:sz w:val="24"/>
          <w:szCs w:val="24"/>
        </w:rPr>
        <w:t xml:space="preserve">A Gilles Carrez est donné mission de trouver des financements supplémentaires. Dans son rapport, le député précise que cette société présentera une </w:t>
      </w:r>
      <w:r w:rsidRPr="00933063">
        <w:rPr>
          <w:sz w:val="24"/>
          <w:szCs w:val="24"/>
          <w:u w:val="single"/>
        </w:rPr>
        <w:t>rentabilité financière négative</w:t>
      </w:r>
      <w:r w:rsidRPr="00933063">
        <w:rPr>
          <w:sz w:val="24"/>
          <w:szCs w:val="24"/>
        </w:rPr>
        <w:t xml:space="preserve"> et que la seule rentabilité envisageable ne pourrait l’être que sous l’angle socio-économique (améliorations du service du transport </w:t>
      </w:r>
      <w:r>
        <w:rPr>
          <w:sz w:val="24"/>
          <w:szCs w:val="24"/>
        </w:rPr>
        <w:t>proposé</w:t>
      </w:r>
      <w:r w:rsidRPr="00933063">
        <w:rPr>
          <w:sz w:val="24"/>
          <w:szCs w:val="24"/>
        </w:rPr>
        <w:t xml:space="preserve"> aux usagers).</w:t>
      </w:r>
    </w:p>
    <w:p w:rsidR="003D702D" w:rsidRPr="00933063" w:rsidRDefault="003D702D" w:rsidP="00B100E0">
      <w:pPr>
        <w:jc w:val="both"/>
        <w:rPr>
          <w:sz w:val="24"/>
          <w:szCs w:val="24"/>
        </w:rPr>
      </w:pPr>
      <w:r w:rsidRPr="00933063">
        <w:rPr>
          <w:sz w:val="24"/>
          <w:szCs w:val="24"/>
        </w:rPr>
        <w:t>De 2020 à 2030, la SGP réalise les investissements en s’endettant et jusqu’en 2070 elle assure le remboursement de cette dette grâce aux ressources qui lui sont affectées.</w:t>
      </w:r>
    </w:p>
    <w:p w:rsidR="003D702D" w:rsidRPr="00933063" w:rsidRDefault="003D702D" w:rsidP="00B100E0">
      <w:pPr>
        <w:jc w:val="both"/>
        <w:rPr>
          <w:sz w:val="24"/>
          <w:szCs w:val="24"/>
        </w:rPr>
      </w:pPr>
      <w:r w:rsidRPr="00933063">
        <w:rPr>
          <w:sz w:val="24"/>
          <w:szCs w:val="24"/>
        </w:rPr>
        <w:t>Ces ressources proviennent d’un </w:t>
      </w:r>
      <w:r w:rsidRPr="00933063">
        <w:rPr>
          <w:b/>
          <w:sz w:val="24"/>
          <w:szCs w:val="24"/>
        </w:rPr>
        <w:t>empilement de taxes</w:t>
      </w:r>
      <w:r w:rsidRPr="00933063">
        <w:rPr>
          <w:sz w:val="24"/>
          <w:szCs w:val="24"/>
        </w:rPr>
        <w:t> :</w:t>
      </w:r>
    </w:p>
    <w:p w:rsidR="003D702D" w:rsidRPr="00933063" w:rsidRDefault="003D702D" w:rsidP="00B100E0">
      <w:pPr>
        <w:pStyle w:val="ListParagraph"/>
        <w:numPr>
          <w:ilvl w:val="0"/>
          <w:numId w:val="1"/>
        </w:numPr>
        <w:jc w:val="both"/>
        <w:rPr>
          <w:sz w:val="24"/>
          <w:szCs w:val="24"/>
        </w:rPr>
      </w:pPr>
      <w:r w:rsidRPr="00933063">
        <w:rPr>
          <w:sz w:val="24"/>
          <w:szCs w:val="24"/>
        </w:rPr>
        <w:t>Une taxe sur les surfaces de bureau, commerce, stockage et stationnement (TSBCS) « </w:t>
      </w:r>
      <w:r w:rsidRPr="00933063">
        <w:rPr>
          <w:i/>
          <w:iCs/>
          <w:sz w:val="24"/>
          <w:szCs w:val="24"/>
        </w:rPr>
        <w:t>large, stable et croissante »</w:t>
      </w:r>
    </w:p>
    <w:p w:rsidR="003D702D" w:rsidRPr="00933063" w:rsidRDefault="003D702D" w:rsidP="00B100E0">
      <w:pPr>
        <w:pStyle w:val="ListParagraph"/>
        <w:numPr>
          <w:ilvl w:val="0"/>
          <w:numId w:val="1"/>
        </w:numPr>
        <w:jc w:val="both"/>
        <w:rPr>
          <w:sz w:val="24"/>
          <w:szCs w:val="24"/>
        </w:rPr>
      </w:pPr>
      <w:r w:rsidRPr="00933063">
        <w:rPr>
          <w:sz w:val="24"/>
          <w:szCs w:val="24"/>
        </w:rPr>
        <w:t>Une taxe spéciale d’équipement (TSE)</w:t>
      </w:r>
    </w:p>
    <w:p w:rsidR="003D702D" w:rsidRPr="00933063" w:rsidRDefault="003D702D" w:rsidP="00B100E0">
      <w:pPr>
        <w:pStyle w:val="ListParagraph"/>
        <w:numPr>
          <w:ilvl w:val="0"/>
          <w:numId w:val="1"/>
        </w:numPr>
        <w:jc w:val="both"/>
        <w:rPr>
          <w:sz w:val="24"/>
          <w:szCs w:val="24"/>
        </w:rPr>
      </w:pPr>
      <w:r w:rsidRPr="00933063">
        <w:rPr>
          <w:sz w:val="24"/>
          <w:szCs w:val="24"/>
        </w:rPr>
        <w:t>Une taxe spéciale d’équipement au profit de l’établissement public foncier Ile de France</w:t>
      </w:r>
    </w:p>
    <w:p w:rsidR="003D702D" w:rsidRPr="00933063" w:rsidRDefault="003D702D" w:rsidP="00B100E0">
      <w:pPr>
        <w:pStyle w:val="ListParagraph"/>
        <w:numPr>
          <w:ilvl w:val="0"/>
          <w:numId w:val="1"/>
        </w:numPr>
        <w:jc w:val="both"/>
        <w:rPr>
          <w:sz w:val="24"/>
          <w:szCs w:val="24"/>
        </w:rPr>
      </w:pPr>
      <w:r w:rsidRPr="00933063">
        <w:rPr>
          <w:sz w:val="24"/>
          <w:szCs w:val="24"/>
        </w:rPr>
        <w:t>Une imposition forfaitaire sur les entreprises de réseaux et sur les matériels roulants de la RATP</w:t>
      </w:r>
    </w:p>
    <w:p w:rsidR="003D702D" w:rsidRPr="00933063" w:rsidRDefault="003D702D" w:rsidP="00B100E0">
      <w:pPr>
        <w:pStyle w:val="ListParagraph"/>
        <w:numPr>
          <w:ilvl w:val="0"/>
          <w:numId w:val="1"/>
        </w:numPr>
        <w:jc w:val="both"/>
        <w:rPr>
          <w:sz w:val="24"/>
          <w:szCs w:val="24"/>
        </w:rPr>
      </w:pPr>
      <w:r w:rsidRPr="00933063">
        <w:rPr>
          <w:sz w:val="24"/>
          <w:szCs w:val="24"/>
        </w:rPr>
        <w:t>Une taxe de séjour régionale pour les visiteurs non franciliens</w:t>
      </w:r>
    </w:p>
    <w:p w:rsidR="003D702D" w:rsidRPr="00933063" w:rsidRDefault="003D702D" w:rsidP="00B100E0">
      <w:pPr>
        <w:pStyle w:val="ListParagraph"/>
        <w:numPr>
          <w:ilvl w:val="0"/>
          <w:numId w:val="1"/>
        </w:numPr>
        <w:jc w:val="both"/>
        <w:rPr>
          <w:sz w:val="24"/>
          <w:szCs w:val="24"/>
        </w:rPr>
      </w:pPr>
      <w:r w:rsidRPr="00933063">
        <w:rPr>
          <w:sz w:val="24"/>
          <w:szCs w:val="24"/>
        </w:rPr>
        <w:t>Un prélèvement d’une part des droits de mutation à titre onéreux (DTMO) car le GPE aura un effet haussier sur les prix du foncier et de l’immobilier surtout dans les zones proches des nouvelles gares</w:t>
      </w:r>
    </w:p>
    <w:p w:rsidR="003D702D" w:rsidRDefault="003D702D" w:rsidP="00B100E0">
      <w:pPr>
        <w:jc w:val="both"/>
        <w:rPr>
          <w:b/>
          <w:sz w:val="24"/>
          <w:szCs w:val="24"/>
        </w:rPr>
      </w:pPr>
      <w:r w:rsidRPr="00933063">
        <w:rPr>
          <w:sz w:val="24"/>
          <w:szCs w:val="24"/>
        </w:rPr>
        <w:t>Ainsi, en 2017, 530 millions d’euros par an étaient affectés à la société de projet et après avoir dégagés les financements supplémentaires ce sont désormais 800 M€</w:t>
      </w:r>
      <w:r w:rsidRPr="00933063">
        <w:rPr>
          <w:sz w:val="24"/>
          <w:szCs w:val="24"/>
          <w:vertAlign w:val="subscript"/>
        </w:rPr>
        <w:t>2012</w:t>
      </w:r>
      <w:r w:rsidRPr="00933063">
        <w:rPr>
          <w:sz w:val="24"/>
          <w:szCs w:val="24"/>
        </w:rPr>
        <w:t xml:space="preserve">/an qui peuvent être affectés mais </w:t>
      </w:r>
      <w:r w:rsidRPr="00933063">
        <w:rPr>
          <w:b/>
          <w:sz w:val="24"/>
          <w:szCs w:val="24"/>
        </w:rPr>
        <w:t>cela ne représente que 20% sur 10 ans du financement !</w:t>
      </w:r>
    </w:p>
    <w:p w:rsidR="003D702D" w:rsidRDefault="003D702D" w:rsidP="00B100E0">
      <w:pPr>
        <w:jc w:val="both"/>
        <w:rPr>
          <w:b/>
          <w:sz w:val="24"/>
          <w:szCs w:val="24"/>
        </w:rPr>
      </w:pPr>
    </w:p>
    <w:p w:rsidR="003D702D" w:rsidRDefault="003D702D" w:rsidP="00B100E0">
      <w:pPr>
        <w:jc w:val="both"/>
        <w:rPr>
          <w:b/>
          <w:sz w:val="24"/>
          <w:szCs w:val="24"/>
        </w:rPr>
      </w:pPr>
    </w:p>
    <w:p w:rsidR="003D702D" w:rsidRPr="00933063" w:rsidRDefault="003D702D" w:rsidP="00B100E0">
      <w:pPr>
        <w:jc w:val="both"/>
        <w:rPr>
          <w:b/>
          <w:sz w:val="24"/>
          <w:szCs w:val="24"/>
        </w:rPr>
      </w:pPr>
    </w:p>
    <w:p w:rsidR="003D702D" w:rsidRPr="005A49EE" w:rsidRDefault="003D702D" w:rsidP="00B100E0">
      <w:pPr>
        <w:pStyle w:val="ListParagraph"/>
        <w:numPr>
          <w:ilvl w:val="0"/>
          <w:numId w:val="2"/>
        </w:numPr>
        <w:spacing w:after="240" w:line="240" w:lineRule="auto"/>
        <w:jc w:val="both"/>
        <w:rPr>
          <w:b/>
          <w:sz w:val="28"/>
          <w:szCs w:val="28"/>
        </w:rPr>
      </w:pPr>
      <w:r w:rsidRPr="005A49EE">
        <w:rPr>
          <w:b/>
          <w:sz w:val="28"/>
          <w:szCs w:val="28"/>
        </w:rPr>
        <w:t>Un modèle inadapté pour le financement des LGV</w:t>
      </w:r>
    </w:p>
    <w:p w:rsidR="003D702D" w:rsidRPr="005A49EE" w:rsidRDefault="003D702D" w:rsidP="00B100E0">
      <w:pPr>
        <w:pStyle w:val="Default"/>
        <w:ind w:firstLine="708"/>
        <w:jc w:val="both"/>
        <w:rPr>
          <w:rFonts w:ascii="Calibri" w:hAnsi="Calibri"/>
          <w:b/>
          <w:color w:val="auto"/>
        </w:rPr>
      </w:pPr>
      <w:r w:rsidRPr="005A49EE">
        <w:rPr>
          <w:rFonts w:ascii="Calibri" w:hAnsi="Calibri" w:cs="Arial"/>
          <w:b/>
          <w:color w:val="auto"/>
        </w:rPr>
        <w:t xml:space="preserve">3.1 </w:t>
      </w:r>
      <w:r w:rsidRPr="005A49EE">
        <w:rPr>
          <w:rFonts w:ascii="Calibri" w:hAnsi="Calibri"/>
          <w:b/>
          <w:color w:val="auto"/>
        </w:rPr>
        <w:t>Que prévoit la Loi d’Orientation des Mobilités (LOM) ?</w:t>
      </w:r>
    </w:p>
    <w:p w:rsidR="003D702D" w:rsidRPr="003D46E2" w:rsidRDefault="003D702D" w:rsidP="00B100E0">
      <w:pPr>
        <w:pStyle w:val="Default"/>
        <w:jc w:val="both"/>
        <w:rPr>
          <w:rFonts w:ascii="Calibri" w:hAnsi="Calibri"/>
          <w:color w:val="auto"/>
        </w:rPr>
      </w:pPr>
    </w:p>
    <w:p w:rsidR="003D702D" w:rsidRPr="00933063" w:rsidRDefault="003D702D" w:rsidP="00B100E0">
      <w:pPr>
        <w:pStyle w:val="Default"/>
        <w:jc w:val="both"/>
        <w:rPr>
          <w:rFonts w:ascii="Calibri" w:hAnsi="Calibri"/>
          <w:color w:val="auto"/>
        </w:rPr>
      </w:pPr>
      <w:r w:rsidRPr="003D46E2">
        <w:rPr>
          <w:rFonts w:ascii="Calibri" w:hAnsi="Calibri"/>
          <w:color w:val="auto"/>
        </w:rPr>
        <w:t xml:space="preserve">La loi LOM </w:t>
      </w:r>
      <w:r>
        <w:rPr>
          <w:rFonts w:ascii="Calibri" w:hAnsi="Calibri"/>
          <w:color w:val="auto"/>
        </w:rPr>
        <w:t>surtout orientée</w:t>
      </w:r>
      <w:r w:rsidRPr="004C31E7">
        <w:t xml:space="preserve"> </w:t>
      </w:r>
      <w:r w:rsidRPr="004C31E7">
        <w:rPr>
          <w:rFonts w:ascii="Calibri" w:hAnsi="Calibri"/>
          <w:color w:val="auto"/>
        </w:rPr>
        <w:t xml:space="preserve">vers des investissements pour des transports au quotidien, des primes à la conversion pour des véhicules propres, </w:t>
      </w:r>
      <w:r>
        <w:rPr>
          <w:rFonts w:ascii="Calibri" w:hAnsi="Calibri"/>
          <w:color w:val="auto"/>
        </w:rPr>
        <w:t xml:space="preserve">le </w:t>
      </w:r>
      <w:r w:rsidRPr="004C31E7">
        <w:rPr>
          <w:rFonts w:ascii="Calibri" w:hAnsi="Calibri"/>
          <w:color w:val="auto"/>
        </w:rPr>
        <w:t xml:space="preserve">covoiturage, </w:t>
      </w:r>
      <w:r>
        <w:rPr>
          <w:rFonts w:ascii="Calibri" w:hAnsi="Calibri"/>
          <w:color w:val="auto"/>
        </w:rPr>
        <w:t xml:space="preserve">le </w:t>
      </w:r>
      <w:r w:rsidRPr="004C31E7">
        <w:rPr>
          <w:rFonts w:ascii="Calibri" w:hAnsi="Calibri"/>
          <w:color w:val="auto"/>
        </w:rPr>
        <w:t>plan vélo</w:t>
      </w:r>
      <w:r>
        <w:rPr>
          <w:rFonts w:ascii="Calibri" w:hAnsi="Calibri"/>
          <w:color w:val="auto"/>
        </w:rPr>
        <w:t>. C</w:t>
      </w:r>
      <w:r w:rsidRPr="004C31E7">
        <w:rPr>
          <w:rFonts w:ascii="Calibri" w:hAnsi="Calibri"/>
          <w:color w:val="auto"/>
        </w:rPr>
        <w:t xml:space="preserve">e n’est que </w:t>
      </w:r>
      <w:r w:rsidRPr="00933063">
        <w:rPr>
          <w:rFonts w:ascii="Calibri" w:hAnsi="Calibri"/>
          <w:color w:val="auto"/>
        </w:rPr>
        <w:t xml:space="preserve">l’amendement n°3587 qui fait allusion à des sociétés de projet, amendement apparu seulement en </w:t>
      </w:r>
      <w:r>
        <w:rPr>
          <w:rFonts w:ascii="Calibri" w:hAnsi="Calibri"/>
          <w:color w:val="auto"/>
        </w:rPr>
        <w:t>mars</w:t>
      </w:r>
      <w:r w:rsidRPr="00933063">
        <w:rPr>
          <w:rFonts w:ascii="Calibri" w:hAnsi="Calibri"/>
          <w:color w:val="auto"/>
        </w:rPr>
        <w:t xml:space="preserve"> 2019 après 3 ans de préparation de cette loi.</w:t>
      </w:r>
    </w:p>
    <w:p w:rsidR="003D702D" w:rsidRPr="00933063" w:rsidRDefault="003D702D" w:rsidP="00B100E0">
      <w:pPr>
        <w:pStyle w:val="Default"/>
        <w:jc w:val="both"/>
        <w:rPr>
          <w:rFonts w:ascii="Calibri" w:hAnsi="Calibri"/>
          <w:color w:val="auto"/>
        </w:rPr>
      </w:pPr>
      <w:r w:rsidRPr="00933063">
        <w:rPr>
          <w:rFonts w:ascii="Calibri" w:hAnsi="Calibri"/>
          <w:color w:val="auto"/>
        </w:rPr>
        <w:t>La notion de société de projet n’a été introduite que pour « satisfaire » les élucubrations des régions Nouvelle Aquitaine et Occitanie.</w:t>
      </w:r>
    </w:p>
    <w:p w:rsidR="003D702D" w:rsidRPr="00933063" w:rsidRDefault="003D702D" w:rsidP="00B100E0">
      <w:pPr>
        <w:pStyle w:val="Default"/>
        <w:jc w:val="both"/>
        <w:rPr>
          <w:rFonts w:ascii="Calibri" w:hAnsi="Calibri"/>
          <w:color w:val="auto"/>
        </w:rPr>
      </w:pPr>
    </w:p>
    <w:p w:rsidR="003D702D" w:rsidRPr="00933063" w:rsidRDefault="003D702D" w:rsidP="00B100E0">
      <w:pPr>
        <w:pStyle w:val="Default"/>
        <w:jc w:val="both"/>
        <w:rPr>
          <w:rFonts w:ascii="Calibri" w:hAnsi="Calibri"/>
        </w:rPr>
      </w:pPr>
      <w:r w:rsidRPr="00933063">
        <w:rPr>
          <w:rFonts w:ascii="Calibri" w:hAnsi="Calibri"/>
        </w:rPr>
        <w:t>La loi LOM a inscrit la LGV Bordeaux-Toulouse comme chantier prioritaire, le prolongement vers l’Espagne n’est même pas évoqué.</w:t>
      </w:r>
    </w:p>
    <w:p w:rsidR="003D702D" w:rsidRPr="00933063" w:rsidRDefault="003D702D" w:rsidP="00B100E0">
      <w:pPr>
        <w:pStyle w:val="Default"/>
        <w:jc w:val="both"/>
        <w:rPr>
          <w:rFonts w:ascii="Calibri" w:hAnsi="Calibri"/>
          <w:color w:val="auto"/>
        </w:rPr>
      </w:pPr>
      <w:r w:rsidRPr="00933063">
        <w:rPr>
          <w:rFonts w:ascii="Calibri" w:hAnsi="Calibri"/>
          <w:color w:val="auto"/>
        </w:rPr>
        <w:t xml:space="preserve"> </w:t>
      </w:r>
    </w:p>
    <w:p w:rsidR="003D702D" w:rsidRPr="00933063" w:rsidRDefault="003D702D" w:rsidP="00B100E0">
      <w:pPr>
        <w:pStyle w:val="Default"/>
        <w:jc w:val="both"/>
        <w:rPr>
          <w:rFonts w:ascii="Calibri" w:hAnsi="Calibri"/>
          <w:color w:val="auto"/>
        </w:rPr>
      </w:pPr>
      <w:r w:rsidRPr="00933063">
        <w:rPr>
          <w:rFonts w:ascii="Calibri" w:hAnsi="Calibri"/>
          <w:color w:val="auto"/>
        </w:rPr>
        <w:t xml:space="preserve">L’amendement voté sur les sociétés de projet permet de créer </w:t>
      </w:r>
      <w:r w:rsidRPr="00933063">
        <w:rPr>
          <w:rFonts w:ascii="Calibri" w:hAnsi="Calibri"/>
          <w:i/>
          <w:color w:val="auto"/>
        </w:rPr>
        <w:t>« un ou plusieurs établissements publics locaux ayant pour mission le financement sur un périmètre géographique déterminé, d'un ensemble cohérent d'infrastructures de transport terrestre dont la réalisation représente un coût prévisionnel excédant 1 Md€ hors taxe. Ces établissements peuvent également avoir pour mission de concevoir et d'exploiter ces infrastructures ou de mettre en place les services complémentaires ou connexes à ces infrastructures »</w:t>
      </w:r>
      <w:r w:rsidRPr="00933063">
        <w:rPr>
          <w:rFonts w:ascii="Calibri" w:hAnsi="Calibri"/>
          <w:color w:val="auto"/>
        </w:rPr>
        <w:t>, selon le texte officiel.</w:t>
      </w:r>
    </w:p>
    <w:p w:rsidR="003D702D" w:rsidRPr="00933063" w:rsidRDefault="003D702D" w:rsidP="00B100E0">
      <w:pPr>
        <w:pStyle w:val="Default"/>
        <w:jc w:val="both"/>
        <w:rPr>
          <w:rFonts w:ascii="Calibri" w:hAnsi="Calibri"/>
          <w:color w:val="auto"/>
        </w:rPr>
      </w:pPr>
    </w:p>
    <w:p w:rsidR="003D702D" w:rsidRPr="00933063" w:rsidRDefault="003D702D" w:rsidP="00B100E0">
      <w:pPr>
        <w:pStyle w:val="Default"/>
        <w:jc w:val="both"/>
        <w:rPr>
          <w:rFonts w:ascii="Calibri" w:hAnsi="Calibri"/>
        </w:rPr>
      </w:pPr>
      <w:r w:rsidRPr="00933063">
        <w:rPr>
          <w:rFonts w:ascii="Calibri" w:hAnsi="Calibri"/>
          <w:i/>
        </w:rPr>
        <w:t>« Cette solution va permettre de capter des recettes spécifiques, totalement fléchées vers le projet, sans pour autant amputer les ressources actuelles des collectivités locales et de l'État </w:t>
      </w:r>
      <w:r w:rsidRPr="00933063">
        <w:rPr>
          <w:rStyle w:val="FootnoteReference"/>
          <w:rFonts w:ascii="Calibri" w:hAnsi="Calibri" w:cs="Corbel"/>
          <w:i/>
        </w:rPr>
        <w:footnoteReference w:id="10"/>
      </w:r>
      <w:r w:rsidRPr="00933063">
        <w:rPr>
          <w:rFonts w:ascii="Calibri" w:hAnsi="Calibri"/>
          <w:i/>
        </w:rPr>
        <w:t>»</w:t>
      </w:r>
      <w:r w:rsidRPr="00933063">
        <w:rPr>
          <w:rFonts w:ascii="Calibri" w:hAnsi="Calibri"/>
        </w:rPr>
        <w:t>, précise le maire de Toulouse.</w:t>
      </w:r>
    </w:p>
    <w:p w:rsidR="003D702D" w:rsidRPr="003D46E2" w:rsidRDefault="003D702D" w:rsidP="00B100E0">
      <w:pPr>
        <w:pStyle w:val="Default"/>
        <w:jc w:val="both"/>
        <w:rPr>
          <w:rFonts w:ascii="Calibri" w:hAnsi="Calibri"/>
        </w:rPr>
      </w:pPr>
    </w:p>
    <w:p w:rsidR="003D702D" w:rsidRPr="005A49EE" w:rsidRDefault="003D702D" w:rsidP="00B100E0">
      <w:pPr>
        <w:pStyle w:val="Default"/>
        <w:ind w:firstLine="708"/>
        <w:jc w:val="both"/>
        <w:rPr>
          <w:rFonts w:ascii="Calibri" w:hAnsi="Calibri"/>
          <w:b/>
        </w:rPr>
      </w:pPr>
      <w:r w:rsidRPr="005A49EE">
        <w:rPr>
          <w:rFonts w:ascii="Calibri" w:hAnsi="Calibri" w:cs="Arial"/>
          <w:b/>
        </w:rPr>
        <w:t>3.2 Quel coût à financer ?</w:t>
      </w:r>
    </w:p>
    <w:p w:rsidR="003D702D" w:rsidRPr="00D653C6" w:rsidRDefault="003D702D" w:rsidP="00B100E0">
      <w:pPr>
        <w:pStyle w:val="Default"/>
        <w:ind w:firstLine="708"/>
        <w:jc w:val="both"/>
        <w:rPr>
          <w:rFonts w:ascii="Calibri" w:hAnsi="Calibri"/>
        </w:rPr>
      </w:pPr>
    </w:p>
    <w:p w:rsidR="003D702D" w:rsidRPr="003D46E2" w:rsidRDefault="003D702D" w:rsidP="00B100E0">
      <w:pPr>
        <w:pStyle w:val="Default"/>
        <w:jc w:val="both"/>
        <w:rPr>
          <w:rFonts w:ascii="Calibri" w:hAnsi="Calibri" w:cs="Times New Roman"/>
          <w:color w:val="auto"/>
          <w:lang w:eastAsia="fr-FR"/>
        </w:rPr>
      </w:pPr>
      <w:r w:rsidRPr="003D46E2">
        <w:rPr>
          <w:rFonts w:ascii="Calibri" w:hAnsi="Calibri" w:cs="Times New Roman"/>
          <w:color w:val="auto"/>
          <w:lang w:eastAsia="fr-FR"/>
        </w:rPr>
        <w:t xml:space="preserve">Le projet de LGV Bordeaux-Toulouse est estimé à </w:t>
      </w:r>
      <w:r w:rsidRPr="004C31E7">
        <w:rPr>
          <w:rStyle w:val="Strong"/>
          <w:rFonts w:ascii="Calibri" w:hAnsi="Calibri" w:cs="Corbel"/>
          <w:color w:val="auto"/>
          <w:u w:val="single"/>
        </w:rPr>
        <w:t>7,1 milliards d’euros</w:t>
      </w:r>
      <w:r w:rsidRPr="003D46E2">
        <w:rPr>
          <w:rFonts w:ascii="Calibri" w:hAnsi="Calibri" w:cs="Times New Roman"/>
          <w:color w:val="auto"/>
          <w:lang w:eastAsia="fr-FR"/>
        </w:rPr>
        <w:t xml:space="preserve"> par </w:t>
      </w:r>
      <w:r w:rsidRPr="003D46E2">
        <w:rPr>
          <w:rFonts w:ascii="Calibri" w:hAnsi="Calibri"/>
          <w:color w:val="auto"/>
        </w:rPr>
        <w:t xml:space="preserve">le rapport Duron de 2013 et à </w:t>
      </w:r>
      <w:r w:rsidRPr="004C31E7">
        <w:rPr>
          <w:rFonts w:ascii="Calibri" w:hAnsi="Calibri"/>
          <w:b/>
          <w:color w:val="auto"/>
          <w:u w:val="single"/>
        </w:rPr>
        <w:t xml:space="preserve">8 </w:t>
      </w:r>
      <w:r w:rsidRPr="004C31E7">
        <w:rPr>
          <w:rStyle w:val="Strong"/>
          <w:rFonts w:ascii="Calibri" w:hAnsi="Calibri" w:cs="Corbel"/>
          <w:color w:val="auto"/>
          <w:u w:val="single"/>
        </w:rPr>
        <w:t>milliards d’euros</w:t>
      </w:r>
      <w:r w:rsidRPr="003D46E2">
        <w:rPr>
          <w:rStyle w:val="Strong"/>
          <w:rFonts w:ascii="Calibri" w:hAnsi="Calibri" w:cs="Corbel"/>
          <w:color w:val="auto"/>
        </w:rPr>
        <w:t xml:space="preserve"> </w:t>
      </w:r>
      <w:r w:rsidRPr="003D46E2">
        <w:rPr>
          <w:rFonts w:ascii="Calibri" w:hAnsi="Calibri" w:cs="Times New Roman"/>
          <w:color w:val="auto"/>
          <w:lang w:eastAsia="fr-FR"/>
        </w:rPr>
        <w:t>en 2017  par le Conseil d’Orientation des Infrastructures (COI).</w:t>
      </w:r>
    </w:p>
    <w:p w:rsidR="003D702D" w:rsidRPr="003D46E2" w:rsidRDefault="003D702D" w:rsidP="00B100E0">
      <w:pPr>
        <w:pStyle w:val="Default"/>
        <w:jc w:val="both"/>
        <w:rPr>
          <w:rFonts w:ascii="Calibri" w:hAnsi="Calibri"/>
          <w:color w:val="auto"/>
        </w:rPr>
      </w:pPr>
      <w:r w:rsidRPr="003D46E2">
        <w:rPr>
          <w:rFonts w:ascii="Calibri" w:hAnsi="Calibri" w:cs="Times New Roman"/>
          <w:color w:val="auto"/>
          <w:lang w:eastAsia="fr-FR"/>
        </w:rPr>
        <w:t xml:space="preserve">Il y a fort à parier que  </w:t>
      </w:r>
      <w:r w:rsidRPr="003D46E2">
        <w:rPr>
          <w:rFonts w:ascii="Calibri" w:hAnsi="Calibri"/>
          <w:color w:val="auto"/>
        </w:rPr>
        <w:t>les dérives des dépenses prévisionnelles constatées sur le Grand Paris Express, se reproduiront sur le projet de LGV d’autant plus que la loi va modifier les normes phoniques ce qui va renchérir le coût de la construction avec la multiplication des murs anti bruit.</w:t>
      </w:r>
    </w:p>
    <w:p w:rsidR="003D702D" w:rsidRPr="003D46E2" w:rsidRDefault="003D702D" w:rsidP="00B100E0">
      <w:pPr>
        <w:pStyle w:val="Default"/>
        <w:jc w:val="both"/>
        <w:rPr>
          <w:rFonts w:ascii="Calibri" w:hAnsi="Calibri"/>
          <w:color w:val="auto"/>
        </w:rPr>
      </w:pPr>
    </w:p>
    <w:p w:rsidR="003D702D" w:rsidRPr="00415108" w:rsidRDefault="003D702D" w:rsidP="00B100E0">
      <w:pPr>
        <w:pStyle w:val="Default"/>
        <w:ind w:firstLine="708"/>
        <w:jc w:val="both"/>
        <w:rPr>
          <w:rFonts w:ascii="Calibri" w:hAnsi="Calibri"/>
          <w:b/>
          <w:color w:val="auto"/>
        </w:rPr>
      </w:pPr>
      <w:r w:rsidRPr="00415108">
        <w:rPr>
          <w:rFonts w:ascii="Calibri" w:hAnsi="Calibri" w:cs="Arial"/>
          <w:b/>
          <w:color w:val="auto"/>
        </w:rPr>
        <w:t xml:space="preserve">3.3 </w:t>
      </w:r>
      <w:r w:rsidRPr="00415108">
        <w:rPr>
          <w:rFonts w:ascii="Calibri" w:hAnsi="Calibri"/>
          <w:b/>
          <w:color w:val="auto"/>
        </w:rPr>
        <w:t>Quelles ressources ?</w:t>
      </w:r>
    </w:p>
    <w:p w:rsidR="003D702D" w:rsidRPr="003D46E2" w:rsidRDefault="003D702D" w:rsidP="00B100E0">
      <w:pPr>
        <w:pStyle w:val="Default"/>
        <w:jc w:val="both"/>
        <w:rPr>
          <w:rFonts w:ascii="Calibri" w:hAnsi="Calibri" w:cs="Times New Roman"/>
          <w:color w:val="auto"/>
          <w:lang w:eastAsia="fr-FR"/>
        </w:rPr>
      </w:pPr>
    </w:p>
    <w:p w:rsidR="003D702D" w:rsidRPr="003D46E2" w:rsidRDefault="003D702D" w:rsidP="00B100E0">
      <w:pPr>
        <w:pStyle w:val="Default"/>
        <w:jc w:val="both"/>
        <w:rPr>
          <w:rFonts w:ascii="Calibri" w:hAnsi="Calibri" w:cs="Times New Roman"/>
          <w:color w:val="auto"/>
          <w:lang w:eastAsia="fr-FR"/>
        </w:rPr>
      </w:pPr>
      <w:r w:rsidRPr="003D46E2">
        <w:rPr>
          <w:rFonts w:ascii="Calibri" w:hAnsi="Calibri" w:cs="Times New Roman"/>
          <w:color w:val="auto"/>
          <w:lang w:eastAsia="fr-FR"/>
        </w:rPr>
        <w:t>A l’instar du projet du Grand Paris Express, les élus locaux proposent une taxe sur l'immobilier de bureau, mais aussi une écotaxe régionale sur les poids lourds et l’affectation de la  TICPE</w:t>
      </w:r>
      <w:r w:rsidRPr="003D46E2">
        <w:rPr>
          <w:rStyle w:val="FootnoteReference"/>
          <w:rFonts w:ascii="Calibri" w:hAnsi="Calibri"/>
          <w:color w:val="auto"/>
          <w:lang w:eastAsia="fr-FR"/>
        </w:rPr>
        <w:footnoteReference w:id="11"/>
      </w:r>
      <w:r w:rsidRPr="003D46E2">
        <w:rPr>
          <w:rFonts w:ascii="Calibri" w:hAnsi="Calibri" w:cs="Times New Roman"/>
          <w:color w:val="auto"/>
          <w:lang w:eastAsia="fr-FR"/>
        </w:rPr>
        <w:t xml:space="preserve"> Grenelle. Selon Jean-Louis Chauzy ce panier de recettes permettrait de financer 60% du projet sur </w:t>
      </w:r>
      <w:r>
        <w:rPr>
          <w:rFonts w:ascii="Calibri" w:hAnsi="Calibri" w:cs="Times New Roman"/>
          <w:color w:val="auto"/>
          <w:lang w:eastAsia="fr-FR"/>
        </w:rPr>
        <w:t xml:space="preserve">40 ou </w:t>
      </w:r>
      <w:r w:rsidRPr="003D46E2">
        <w:rPr>
          <w:rFonts w:ascii="Calibri" w:hAnsi="Calibri" w:cs="Times New Roman"/>
          <w:color w:val="auto"/>
          <w:lang w:eastAsia="fr-FR"/>
        </w:rPr>
        <w:t xml:space="preserve">50 ans, durée de l’emprunt. </w:t>
      </w:r>
      <w:r>
        <w:rPr>
          <w:rFonts w:ascii="Calibri" w:hAnsi="Calibri" w:cs="Times New Roman"/>
          <w:color w:val="auto"/>
          <w:lang w:eastAsia="fr-FR"/>
        </w:rPr>
        <w:t xml:space="preserve">Cela restera insuffisant et d’autres taxes verront sûrement le jour. </w:t>
      </w:r>
      <w:r w:rsidRPr="003D46E2">
        <w:rPr>
          <w:rFonts w:ascii="Calibri" w:hAnsi="Calibri" w:cs="Times New Roman"/>
          <w:color w:val="auto"/>
          <w:lang w:eastAsia="fr-FR"/>
        </w:rPr>
        <w:t>Les 40% restants seraient pris en charge par l’Etat, les collectivités territoriales et l’Europe dont on attend beaucoup. Mais pour l’instant l’UE ne finance que les études et les liaisons transfrontalières.</w:t>
      </w:r>
    </w:p>
    <w:p w:rsidR="003D702D" w:rsidRPr="003D46E2" w:rsidRDefault="003D702D" w:rsidP="00B100E0">
      <w:pPr>
        <w:pStyle w:val="Default"/>
        <w:jc w:val="both"/>
        <w:rPr>
          <w:rFonts w:ascii="Calibri" w:hAnsi="Calibri" w:cs="Times New Roman"/>
          <w:color w:val="auto"/>
          <w:lang w:eastAsia="fr-FR"/>
        </w:rPr>
      </w:pPr>
    </w:p>
    <w:p w:rsidR="003D702D" w:rsidRPr="003D46E2" w:rsidRDefault="003D702D" w:rsidP="00B100E0">
      <w:pPr>
        <w:pStyle w:val="Default"/>
        <w:jc w:val="both"/>
        <w:rPr>
          <w:rFonts w:ascii="Calibri" w:hAnsi="Calibri" w:cs="Times New Roman"/>
          <w:lang w:eastAsia="fr-FR"/>
        </w:rPr>
      </w:pPr>
      <w:r w:rsidRPr="003D46E2">
        <w:rPr>
          <w:rFonts w:ascii="Calibri" w:hAnsi="Calibri" w:cs="Times New Roman"/>
          <w:lang w:eastAsia="fr-FR"/>
        </w:rPr>
        <w:t xml:space="preserve">Gérald Darmanin, ministre du budget, se montre vigilant sur la création de nouveaux impôts : </w:t>
      </w:r>
      <w:r w:rsidRPr="003D46E2">
        <w:rPr>
          <w:rFonts w:ascii="Calibri" w:hAnsi="Calibri" w:cs="Times New Roman"/>
          <w:i/>
          <w:color w:val="auto"/>
          <w:lang w:eastAsia="fr-FR"/>
        </w:rPr>
        <w:t>« </w:t>
      </w:r>
      <w:r w:rsidRPr="003D46E2">
        <w:rPr>
          <w:rFonts w:ascii="Calibri" w:hAnsi="Calibri"/>
          <w:i/>
          <w:color w:val="auto"/>
        </w:rPr>
        <w:t>cela va faire naître une fiscalité supplémentaire donc nous devons nous mettre bien d'accord avec tous les acteurs du système pour que cette fiscalité soit acceptée par les acteurs économiques et notamment la population de la région. Ce n'est pas forcément évident et ce n'est pas l'État qui le propose mais bien les collectivités locales.</w:t>
      </w:r>
      <w:r w:rsidRPr="003D46E2">
        <w:rPr>
          <w:rStyle w:val="FootnoteReference"/>
          <w:rFonts w:ascii="Calibri" w:hAnsi="Calibri" w:cs="Corbel"/>
          <w:i/>
          <w:color w:val="auto"/>
        </w:rPr>
        <w:footnoteReference w:id="12"/>
      </w:r>
      <w:r w:rsidRPr="003D46E2">
        <w:rPr>
          <w:rFonts w:ascii="Calibri" w:hAnsi="Calibri"/>
          <w:i/>
          <w:color w:val="auto"/>
        </w:rPr>
        <w:t> »</w:t>
      </w:r>
    </w:p>
    <w:p w:rsidR="003D702D" w:rsidRPr="003D46E2" w:rsidRDefault="003D702D" w:rsidP="00B100E0">
      <w:pPr>
        <w:pStyle w:val="Default"/>
        <w:jc w:val="both"/>
        <w:rPr>
          <w:rFonts w:ascii="Calibri" w:hAnsi="Calibri" w:cs="Times New Roman"/>
          <w:color w:val="auto"/>
          <w:lang w:eastAsia="fr-FR"/>
        </w:rPr>
      </w:pPr>
    </w:p>
    <w:p w:rsidR="003D702D" w:rsidRPr="003D46E2" w:rsidRDefault="003D702D" w:rsidP="00B100E0">
      <w:pPr>
        <w:pStyle w:val="Default"/>
        <w:jc w:val="both"/>
        <w:rPr>
          <w:rFonts w:ascii="Calibri" w:hAnsi="Calibri" w:cs="Times New Roman"/>
          <w:color w:val="auto"/>
          <w:lang w:eastAsia="fr-FR"/>
        </w:rPr>
      </w:pPr>
      <w:r w:rsidRPr="003D46E2">
        <w:rPr>
          <w:rFonts w:ascii="Calibri" w:hAnsi="Calibri" w:cs="Times New Roman"/>
          <w:color w:val="auto"/>
          <w:lang w:eastAsia="fr-FR"/>
        </w:rPr>
        <w:t>Proposer une écotaxe sur les poids lourds c’est un risque d’affrontement avec le puissant lobby routier. Rappelons que La TICPE (taxe sur les carburants), à l’origine de la crise des gilets jaunes a été un marqueur de contestation important.</w:t>
      </w:r>
    </w:p>
    <w:p w:rsidR="003D702D" w:rsidRPr="003D46E2" w:rsidRDefault="003D702D" w:rsidP="00B100E0">
      <w:pPr>
        <w:pStyle w:val="Default"/>
        <w:jc w:val="both"/>
        <w:rPr>
          <w:rFonts w:ascii="Calibri" w:hAnsi="Calibri" w:cs="Times New Roman"/>
          <w:color w:val="auto"/>
          <w:lang w:eastAsia="fr-FR"/>
        </w:rPr>
      </w:pPr>
    </w:p>
    <w:p w:rsidR="003D702D" w:rsidRPr="003D46E2" w:rsidRDefault="003D702D" w:rsidP="00B100E0">
      <w:pPr>
        <w:pStyle w:val="Default"/>
        <w:jc w:val="both"/>
        <w:rPr>
          <w:rFonts w:ascii="Calibri" w:hAnsi="Calibri"/>
          <w:color w:val="auto"/>
        </w:rPr>
      </w:pPr>
      <w:r w:rsidRPr="003D46E2">
        <w:rPr>
          <w:rFonts w:ascii="Calibri" w:hAnsi="Calibri"/>
          <w:color w:val="auto"/>
        </w:rPr>
        <w:t xml:space="preserve">Jean-Louis Chauzy, président du Ceser </w:t>
      </w:r>
      <w:r>
        <w:rPr>
          <w:rFonts w:ascii="Calibri" w:hAnsi="Calibri"/>
          <w:color w:val="auto"/>
        </w:rPr>
        <w:t>affirme</w:t>
      </w:r>
      <w:r w:rsidRPr="003D46E2">
        <w:rPr>
          <w:rFonts w:ascii="Calibri" w:hAnsi="Calibri"/>
          <w:color w:val="auto"/>
        </w:rPr>
        <w:t xml:space="preserve"> avoir travaillé avec les collectivités et la Chambre régionale de commerce et d’industrie (CCI) sur la question des ressources. </w:t>
      </w:r>
      <w:r w:rsidRPr="003D46E2">
        <w:rPr>
          <w:rFonts w:ascii="Calibri" w:hAnsi="Calibri"/>
          <w:i/>
          <w:color w:val="auto"/>
        </w:rPr>
        <w:t>«Nous sommes crédibles au niveau du modèle financier</w:t>
      </w:r>
      <w:r w:rsidRPr="003D46E2">
        <w:rPr>
          <w:rFonts w:ascii="Arial Unicode MS" w:eastAsia="Arial Unicode MS" w:hAnsi="Arial Unicode MS" w:cs="Arial Unicode MS" w:hint="eastAsia"/>
          <w:i/>
          <w:color w:val="auto"/>
        </w:rPr>
        <w:t> </w:t>
      </w:r>
      <w:r w:rsidRPr="003D46E2">
        <w:rPr>
          <w:rFonts w:ascii="Calibri" w:hAnsi="Calibri"/>
          <w:i/>
          <w:color w:val="auto"/>
        </w:rPr>
        <w:t>»</w:t>
      </w:r>
      <w:r w:rsidRPr="003D46E2">
        <w:rPr>
          <w:rFonts w:ascii="Calibri" w:hAnsi="Calibri"/>
          <w:color w:val="auto"/>
        </w:rPr>
        <w:t xml:space="preserve"> assure-t-il. </w:t>
      </w:r>
    </w:p>
    <w:p w:rsidR="003D702D" w:rsidRPr="00415108" w:rsidRDefault="003D702D" w:rsidP="00B100E0">
      <w:pPr>
        <w:spacing w:before="100" w:beforeAutospacing="1" w:after="100" w:afterAutospacing="1" w:line="240" w:lineRule="auto"/>
        <w:jc w:val="both"/>
        <w:rPr>
          <w:sz w:val="24"/>
          <w:szCs w:val="24"/>
          <w:lang w:eastAsia="fr-FR"/>
        </w:rPr>
      </w:pPr>
      <w:r w:rsidRPr="003D46E2">
        <w:rPr>
          <w:sz w:val="24"/>
          <w:szCs w:val="24"/>
        </w:rPr>
        <w:t>Il est hors de question de payer des taxes supplémentaires pour financer la LGV Bordeaux-Toulouse s’insurgent la CCI Occitanie et la CPME 31</w:t>
      </w:r>
      <w:r>
        <w:rPr>
          <w:sz w:val="24"/>
          <w:szCs w:val="24"/>
        </w:rPr>
        <w:t xml:space="preserve"> </w:t>
      </w:r>
      <w:r w:rsidRPr="00CF331B">
        <w:rPr>
          <w:sz w:val="24"/>
          <w:szCs w:val="24"/>
        </w:rPr>
        <w:t>(Confédération des Petites et Moyennes Entreprises)</w:t>
      </w:r>
      <w:r>
        <w:rPr>
          <w:sz w:val="24"/>
          <w:szCs w:val="24"/>
        </w:rPr>
        <w:t xml:space="preserve">. Ni la CPEM, </w:t>
      </w:r>
      <w:r w:rsidRPr="003D46E2">
        <w:rPr>
          <w:sz w:val="24"/>
          <w:szCs w:val="24"/>
          <w:lang w:eastAsia="fr-FR"/>
        </w:rPr>
        <w:t>ni le M</w:t>
      </w:r>
      <w:r>
        <w:rPr>
          <w:sz w:val="24"/>
          <w:szCs w:val="24"/>
          <w:lang w:eastAsia="fr-FR"/>
        </w:rPr>
        <w:t>EDEF</w:t>
      </w:r>
      <w:r w:rsidRPr="003D46E2">
        <w:rPr>
          <w:sz w:val="24"/>
          <w:szCs w:val="24"/>
          <w:lang w:eastAsia="fr-FR"/>
        </w:rPr>
        <w:t>, ni la CMA</w:t>
      </w:r>
      <w:r>
        <w:rPr>
          <w:sz w:val="24"/>
          <w:szCs w:val="24"/>
          <w:lang w:eastAsia="fr-FR"/>
        </w:rPr>
        <w:t xml:space="preserve"> </w:t>
      </w:r>
      <w:r w:rsidRPr="00CF331B">
        <w:rPr>
          <w:sz w:val="24"/>
          <w:szCs w:val="24"/>
          <w:lang w:eastAsia="fr-FR"/>
        </w:rPr>
        <w:t>(Chambre des Métiers et Artisans)</w:t>
      </w:r>
      <w:r w:rsidRPr="003D46E2">
        <w:rPr>
          <w:sz w:val="24"/>
          <w:szCs w:val="24"/>
          <w:lang w:eastAsia="fr-FR"/>
        </w:rPr>
        <w:t xml:space="preserve"> ni la CCI n’auraient été consultées sur ce sujet</w:t>
      </w:r>
      <w:r w:rsidRPr="003D46E2">
        <w:rPr>
          <w:rStyle w:val="FootnoteReference"/>
          <w:sz w:val="24"/>
          <w:szCs w:val="24"/>
          <w:lang w:eastAsia="fr-FR"/>
        </w:rPr>
        <w:footnoteReference w:id="13"/>
      </w:r>
      <w:r w:rsidRPr="003D46E2">
        <w:rPr>
          <w:sz w:val="24"/>
          <w:szCs w:val="24"/>
          <w:lang w:eastAsia="fr-FR"/>
        </w:rPr>
        <w:t>.</w:t>
      </w:r>
    </w:p>
    <w:p w:rsidR="003D702D" w:rsidRPr="00415108" w:rsidRDefault="003D702D" w:rsidP="00B100E0">
      <w:pPr>
        <w:pStyle w:val="Default"/>
        <w:ind w:firstLine="708"/>
        <w:jc w:val="both"/>
        <w:rPr>
          <w:rFonts w:ascii="Calibri" w:hAnsi="Calibri" w:cs="Times New Roman"/>
          <w:b/>
          <w:color w:val="auto"/>
          <w:lang w:eastAsia="fr-FR"/>
        </w:rPr>
      </w:pPr>
      <w:r w:rsidRPr="00415108">
        <w:rPr>
          <w:rFonts w:ascii="Calibri" w:hAnsi="Calibri" w:cs="Arial"/>
          <w:b/>
          <w:color w:val="auto"/>
          <w:lang w:eastAsia="fr-FR"/>
        </w:rPr>
        <w:t xml:space="preserve">3.4 </w:t>
      </w:r>
      <w:r w:rsidRPr="00415108">
        <w:rPr>
          <w:rFonts w:ascii="Calibri" w:hAnsi="Calibri" w:cs="Times New Roman"/>
          <w:b/>
          <w:color w:val="auto"/>
          <w:lang w:eastAsia="fr-FR"/>
        </w:rPr>
        <w:t>La taxe sur les bureaux est-elle applicable au modèle LGV ?</w:t>
      </w:r>
    </w:p>
    <w:p w:rsidR="003D702D" w:rsidRDefault="003D702D" w:rsidP="00B100E0">
      <w:pPr>
        <w:pStyle w:val="Default"/>
        <w:jc w:val="both"/>
        <w:rPr>
          <w:rFonts w:ascii="Calibri" w:hAnsi="Calibri" w:cs="Times New Roman"/>
          <w:color w:val="auto"/>
          <w:lang w:eastAsia="fr-FR"/>
        </w:rPr>
      </w:pPr>
    </w:p>
    <w:p w:rsidR="003D702D" w:rsidRPr="003D46E2" w:rsidRDefault="003D702D" w:rsidP="00B100E0">
      <w:pPr>
        <w:pStyle w:val="Default"/>
        <w:jc w:val="both"/>
        <w:rPr>
          <w:rFonts w:ascii="Calibri" w:hAnsi="Calibri" w:cs="Times New Roman"/>
          <w:color w:val="auto"/>
          <w:lang w:eastAsia="fr-FR"/>
        </w:rPr>
      </w:pPr>
      <w:r w:rsidRPr="003D46E2">
        <w:rPr>
          <w:rFonts w:ascii="Calibri" w:hAnsi="Calibri" w:cs="Times New Roman"/>
          <w:color w:val="auto"/>
          <w:lang w:eastAsia="fr-FR"/>
        </w:rPr>
        <w:t>La taxe sur les bureaux (TSB), applicable dans le Grand Paris Express, concerne les locaux à usage de bureaux, locaux commerciaux, locaux de stockage et surfaces de stationnement.</w:t>
      </w:r>
    </w:p>
    <w:p w:rsidR="003D702D" w:rsidRDefault="003D702D" w:rsidP="00B100E0">
      <w:pPr>
        <w:pStyle w:val="Default"/>
        <w:jc w:val="both"/>
        <w:rPr>
          <w:rFonts w:ascii="Calibri" w:hAnsi="Calibri" w:cs="Times New Roman"/>
          <w:lang w:eastAsia="fr-FR"/>
        </w:rPr>
      </w:pPr>
      <w:r w:rsidRPr="003D46E2">
        <w:rPr>
          <w:rFonts w:ascii="Calibri" w:hAnsi="Calibri" w:cs="Times New Roman"/>
          <w:lang w:eastAsia="fr-FR"/>
        </w:rPr>
        <w:t xml:space="preserve">Elle porte, sur 68 zones d’impact (autour des stations de métro) où se créerait de la </w:t>
      </w:r>
      <w:r>
        <w:rPr>
          <w:rFonts w:ascii="Calibri" w:hAnsi="Calibri" w:cs="Times New Roman"/>
          <w:lang w:eastAsia="fr-FR"/>
        </w:rPr>
        <w:t>« </w:t>
      </w:r>
      <w:r w:rsidRPr="003D46E2">
        <w:rPr>
          <w:rFonts w:ascii="Calibri" w:hAnsi="Calibri" w:cs="Times New Roman"/>
          <w:lang w:eastAsia="fr-FR"/>
        </w:rPr>
        <w:t>valeur</w:t>
      </w:r>
      <w:r>
        <w:rPr>
          <w:rFonts w:ascii="Calibri" w:hAnsi="Calibri" w:cs="Times New Roman"/>
          <w:lang w:eastAsia="fr-FR"/>
        </w:rPr>
        <w:t> »</w:t>
      </w:r>
      <w:r w:rsidRPr="003D46E2">
        <w:rPr>
          <w:rFonts w:ascii="Calibri" w:hAnsi="Calibri" w:cs="Times New Roman"/>
          <w:lang w:eastAsia="fr-FR"/>
        </w:rPr>
        <w:t xml:space="preserve">. </w:t>
      </w:r>
    </w:p>
    <w:p w:rsidR="003D702D" w:rsidRDefault="003D702D" w:rsidP="00B100E0">
      <w:pPr>
        <w:pStyle w:val="Default"/>
        <w:jc w:val="both"/>
        <w:rPr>
          <w:rFonts w:ascii="Calibri" w:hAnsi="Calibri" w:cs="Times New Roman"/>
          <w:lang w:eastAsia="fr-FR"/>
        </w:rPr>
      </w:pPr>
    </w:p>
    <w:p w:rsidR="003D702D" w:rsidRPr="003D46E2" w:rsidRDefault="003D702D" w:rsidP="00B100E0">
      <w:pPr>
        <w:pStyle w:val="Default"/>
        <w:jc w:val="both"/>
        <w:rPr>
          <w:rFonts w:ascii="Calibri" w:hAnsi="Calibri" w:cs="Times New Roman"/>
          <w:lang w:eastAsia="fr-FR"/>
        </w:rPr>
      </w:pPr>
      <w:r w:rsidRPr="003D46E2">
        <w:rPr>
          <w:rFonts w:ascii="Calibri" w:hAnsi="Calibri" w:cs="Times New Roman"/>
          <w:lang w:eastAsia="fr-FR"/>
        </w:rPr>
        <w:t>Ceci apparaît fortement aléatoire en termes de recettes pour la LGV. Pourquoi ?</w:t>
      </w:r>
    </w:p>
    <w:p w:rsidR="003D702D" w:rsidRPr="003D46E2" w:rsidRDefault="003D702D" w:rsidP="00B100E0">
      <w:pPr>
        <w:pStyle w:val="Default"/>
        <w:jc w:val="both"/>
        <w:rPr>
          <w:rFonts w:ascii="Calibri" w:hAnsi="Calibri" w:cs="Times New Roman"/>
          <w:lang w:eastAsia="fr-FR"/>
        </w:rPr>
      </w:pPr>
    </w:p>
    <w:p w:rsidR="003D702D" w:rsidRPr="003D46E2" w:rsidRDefault="003D702D" w:rsidP="00B100E0">
      <w:pPr>
        <w:pStyle w:val="Default"/>
        <w:jc w:val="both"/>
        <w:rPr>
          <w:rFonts w:ascii="Calibri" w:hAnsi="Calibri" w:cs="Times New Roman"/>
          <w:lang w:eastAsia="fr-FR"/>
        </w:rPr>
      </w:pPr>
      <w:r w:rsidRPr="003D46E2">
        <w:rPr>
          <w:rFonts w:ascii="Calibri" w:hAnsi="Calibri" w:cs="Times New Roman"/>
          <w:lang w:eastAsia="fr-FR"/>
        </w:rPr>
        <w:t>Comment déterminera-t-on  les zones susceptibles de bénéficier d’un éventuel effet LGV ?</w:t>
      </w:r>
    </w:p>
    <w:p w:rsidR="003D702D" w:rsidRPr="003D46E2" w:rsidRDefault="003D702D" w:rsidP="00B100E0">
      <w:pPr>
        <w:pStyle w:val="Default"/>
        <w:jc w:val="both"/>
        <w:rPr>
          <w:rFonts w:ascii="Calibri" w:hAnsi="Calibri" w:cs="Times New Roman"/>
          <w:lang w:eastAsia="fr-FR"/>
        </w:rPr>
      </w:pPr>
      <w:r w:rsidRPr="003D46E2">
        <w:rPr>
          <w:rFonts w:ascii="Calibri" w:hAnsi="Calibri" w:cs="Times New Roman"/>
          <w:lang w:eastAsia="fr-FR"/>
        </w:rPr>
        <w:t xml:space="preserve">Les entreprises vont-elles venir s’installer dans ces zones alors qu’elles savent qu’elles vont être "surtaxées" ? </w:t>
      </w:r>
    </w:p>
    <w:p w:rsidR="003D702D" w:rsidRPr="003D46E2" w:rsidRDefault="003D702D" w:rsidP="00B100E0">
      <w:pPr>
        <w:pStyle w:val="Default"/>
        <w:jc w:val="both"/>
        <w:rPr>
          <w:rFonts w:ascii="Calibri" w:hAnsi="Calibri" w:cs="Times New Roman"/>
          <w:lang w:eastAsia="fr-FR"/>
        </w:rPr>
      </w:pPr>
      <w:r w:rsidRPr="003D46E2">
        <w:rPr>
          <w:rFonts w:ascii="Calibri" w:hAnsi="Calibri" w:cs="Times New Roman"/>
          <w:lang w:eastAsia="fr-FR"/>
        </w:rPr>
        <w:t>Quelle prévision peut-on faire sur des recettes fiscales destinées à des investissements sur cinquante ans, qui proviendraient d</w:t>
      </w:r>
      <w:r>
        <w:rPr>
          <w:rFonts w:ascii="Calibri" w:hAnsi="Calibri" w:cs="Times New Roman"/>
          <w:lang w:eastAsia="fr-FR"/>
        </w:rPr>
        <w:t xml:space="preserve">’entreprises qui vont ouvrir, </w:t>
      </w:r>
      <w:r w:rsidRPr="003D46E2">
        <w:rPr>
          <w:rFonts w:ascii="Calibri" w:hAnsi="Calibri" w:cs="Times New Roman"/>
          <w:lang w:eastAsia="fr-FR"/>
        </w:rPr>
        <w:t>fermer, déménager en fonction de leurs cycles d’activité ?</w:t>
      </w:r>
    </w:p>
    <w:p w:rsidR="003D702D" w:rsidRPr="003D46E2" w:rsidRDefault="003D702D" w:rsidP="00B100E0">
      <w:pPr>
        <w:pStyle w:val="Default"/>
        <w:jc w:val="both"/>
        <w:rPr>
          <w:rFonts w:ascii="Calibri" w:hAnsi="Calibri" w:cs="Times New Roman"/>
          <w:lang w:eastAsia="fr-FR"/>
        </w:rPr>
      </w:pPr>
    </w:p>
    <w:p w:rsidR="003D702D" w:rsidRPr="003D46E2" w:rsidRDefault="003D702D" w:rsidP="00B100E0">
      <w:pPr>
        <w:pStyle w:val="Default"/>
        <w:jc w:val="both"/>
        <w:rPr>
          <w:rFonts w:ascii="Calibri" w:hAnsi="Calibri" w:cs="Times New Roman"/>
          <w:lang w:eastAsia="fr-FR"/>
        </w:rPr>
      </w:pPr>
      <w:r w:rsidRPr="003D46E2">
        <w:rPr>
          <w:rFonts w:ascii="Calibri" w:hAnsi="Calibri" w:cs="Times New Roman"/>
          <w:lang w:eastAsia="fr-FR"/>
        </w:rPr>
        <w:t xml:space="preserve">Certes les gares de Bordeaux, de Toulouse et leurs quartiers satellites (Euratlantique, Matabiau) sont de bonnes cibles mais comment cibler les villes intermédiaires comme Marmande, Agen, Montauban et vers l’Espagne, Mont de Marsan, Dax ou Bayonne ? </w:t>
      </w:r>
    </w:p>
    <w:p w:rsidR="003D702D" w:rsidRPr="003D46E2" w:rsidRDefault="003D702D" w:rsidP="00B100E0">
      <w:pPr>
        <w:pStyle w:val="Default"/>
        <w:jc w:val="both"/>
        <w:rPr>
          <w:rFonts w:ascii="Calibri" w:hAnsi="Calibri" w:cs="Times New Roman"/>
          <w:lang w:eastAsia="fr-FR"/>
        </w:rPr>
      </w:pPr>
    </w:p>
    <w:p w:rsidR="003D702D" w:rsidRPr="003D46E2" w:rsidRDefault="003D702D" w:rsidP="00B100E0">
      <w:pPr>
        <w:pStyle w:val="Default"/>
        <w:jc w:val="both"/>
        <w:rPr>
          <w:rFonts w:ascii="Calibri" w:hAnsi="Calibri" w:cs="Times New Roman"/>
          <w:lang w:eastAsia="fr-FR"/>
        </w:rPr>
      </w:pPr>
      <w:r w:rsidRPr="003D46E2">
        <w:rPr>
          <w:rFonts w:ascii="Calibri" w:hAnsi="Calibri" w:cs="Times New Roman"/>
          <w:lang w:eastAsia="fr-FR"/>
        </w:rPr>
        <w:t>La question primordiale est  de savoir combien de TGV s’arrêteront dans ces villes ? Une LGV n’est pas faite pour faire circuler un omnibus qui s’arrête dans toutes les gares comme un métro parisien. Va-t-on créer un quartier d’affaires à Lucbardez à 15km de Mont-de- Marsan sous prétexte que quelques rares TGV s’y arrêteront ? La même question se pose pour Dax et surtout Bayonne à l’écart de la ligne avec une desserte en crochet.</w:t>
      </w:r>
    </w:p>
    <w:p w:rsidR="003D702D" w:rsidRPr="003D46E2" w:rsidRDefault="003D702D" w:rsidP="00B100E0">
      <w:pPr>
        <w:pStyle w:val="Default"/>
        <w:jc w:val="both"/>
        <w:rPr>
          <w:rFonts w:ascii="Calibri" w:hAnsi="Calibri" w:cs="Times New Roman"/>
          <w:lang w:eastAsia="fr-FR"/>
        </w:rPr>
      </w:pPr>
    </w:p>
    <w:p w:rsidR="003D702D" w:rsidRPr="003D46E2" w:rsidRDefault="003D702D" w:rsidP="00B100E0">
      <w:pPr>
        <w:pStyle w:val="Default"/>
        <w:jc w:val="both"/>
        <w:rPr>
          <w:rFonts w:ascii="Calibri" w:hAnsi="Calibri" w:cs="Times New Roman"/>
          <w:lang w:eastAsia="fr-FR"/>
        </w:rPr>
      </w:pPr>
      <w:r w:rsidRPr="003D46E2">
        <w:rPr>
          <w:rFonts w:ascii="Calibri" w:hAnsi="Calibri" w:cs="Times New Roman"/>
          <w:lang w:eastAsia="fr-FR"/>
        </w:rPr>
        <w:t xml:space="preserve">Comme le souligne </w:t>
      </w:r>
      <w:r w:rsidRPr="003D46E2">
        <w:rPr>
          <w:rFonts w:ascii="Calibri" w:hAnsi="Calibri" w:cs="Times New Roman"/>
          <w:bCs/>
          <w:lang w:eastAsia="fr-FR"/>
        </w:rPr>
        <w:t>Éric Tripodi</w:t>
      </w:r>
      <w:r w:rsidRPr="003D46E2">
        <w:rPr>
          <w:rFonts w:ascii="Calibri" w:hAnsi="Calibri" w:cs="Times New Roman"/>
          <w:b/>
          <w:bCs/>
          <w:lang w:eastAsia="fr-FR"/>
        </w:rPr>
        <w:t xml:space="preserve">, </w:t>
      </w:r>
      <w:r w:rsidRPr="003D46E2">
        <w:rPr>
          <w:rFonts w:ascii="Calibri" w:hAnsi="Calibri" w:cs="Times New Roman"/>
          <w:bCs/>
          <w:lang w:eastAsia="fr-FR"/>
        </w:rPr>
        <w:t>directeur adjoint du cabinet de conseil Éco Finance :</w:t>
      </w:r>
      <w:r w:rsidRPr="003D46E2">
        <w:rPr>
          <w:rFonts w:ascii="Calibri" w:hAnsi="Calibri" w:cs="Times New Roman"/>
          <w:lang w:eastAsia="fr-FR"/>
        </w:rPr>
        <w:t xml:space="preserve"> </w:t>
      </w:r>
    </w:p>
    <w:p w:rsidR="003D702D" w:rsidRDefault="003D702D" w:rsidP="00B100E0">
      <w:pPr>
        <w:pStyle w:val="Default"/>
        <w:jc w:val="both"/>
        <w:rPr>
          <w:rFonts w:ascii="Calibri" w:hAnsi="Calibri" w:cs="Times New Roman"/>
          <w:i/>
          <w:lang w:eastAsia="fr-FR"/>
        </w:rPr>
      </w:pPr>
      <w:r w:rsidRPr="003D46E2">
        <w:rPr>
          <w:rFonts w:ascii="Calibri" w:hAnsi="Calibri" w:cs="Times New Roman"/>
          <w:i/>
          <w:lang w:eastAsia="fr-FR"/>
        </w:rPr>
        <w:t>« Faire reposer 60% du projet sur "l’ensemble des ressources fiscales existantes ou nouvelles", mêmes perçues directement par la société projet, semble donc extrêmement ambitieux. Normalement, la fiscalité, vient en complément des financements de l’État, des collectivités et de l’Europe, et ne représente pas un pourcentage si important du financement.</w:t>
      </w:r>
      <w:r w:rsidRPr="003D46E2">
        <w:rPr>
          <w:rStyle w:val="FootnoteReference"/>
          <w:rFonts w:ascii="Calibri" w:hAnsi="Calibri"/>
          <w:i/>
          <w:lang w:eastAsia="fr-FR"/>
        </w:rPr>
        <w:footnoteReference w:id="14"/>
      </w:r>
      <w:r w:rsidRPr="003D46E2">
        <w:rPr>
          <w:rFonts w:ascii="Calibri" w:hAnsi="Calibri" w:cs="Times New Roman"/>
          <w:i/>
          <w:lang w:eastAsia="fr-FR"/>
        </w:rPr>
        <w:t> »</w:t>
      </w:r>
    </w:p>
    <w:p w:rsidR="003D702D" w:rsidRDefault="003D702D" w:rsidP="00B100E0">
      <w:pPr>
        <w:pStyle w:val="Default"/>
        <w:jc w:val="both"/>
        <w:rPr>
          <w:rFonts w:ascii="Calibri" w:hAnsi="Calibri" w:cs="Times New Roman"/>
          <w:i/>
          <w:lang w:eastAsia="fr-FR"/>
        </w:rPr>
      </w:pPr>
    </w:p>
    <w:p w:rsidR="003D702D" w:rsidRPr="00415108" w:rsidRDefault="003D702D" w:rsidP="00B100E0">
      <w:pPr>
        <w:pStyle w:val="Default"/>
        <w:ind w:firstLine="708"/>
        <w:jc w:val="both"/>
        <w:rPr>
          <w:rFonts w:ascii="Calibri" w:hAnsi="Calibri" w:cs="Times New Roman"/>
          <w:b/>
          <w:color w:val="auto"/>
          <w:lang w:eastAsia="fr-FR"/>
        </w:rPr>
      </w:pPr>
      <w:r w:rsidRPr="00415108">
        <w:rPr>
          <w:rFonts w:ascii="Calibri" w:hAnsi="Calibri" w:cs="Arial"/>
          <w:b/>
          <w:color w:val="auto"/>
          <w:lang w:eastAsia="fr-FR"/>
        </w:rPr>
        <w:t>3.</w:t>
      </w:r>
      <w:r>
        <w:rPr>
          <w:rFonts w:ascii="Calibri" w:hAnsi="Calibri" w:cs="Arial"/>
          <w:b/>
          <w:color w:val="auto"/>
          <w:lang w:eastAsia="fr-FR"/>
        </w:rPr>
        <w:t>5</w:t>
      </w:r>
      <w:r w:rsidRPr="00415108">
        <w:rPr>
          <w:rFonts w:ascii="Calibri" w:hAnsi="Calibri" w:cs="Arial"/>
          <w:b/>
          <w:color w:val="auto"/>
          <w:lang w:eastAsia="fr-FR"/>
        </w:rPr>
        <w:t xml:space="preserve"> </w:t>
      </w:r>
      <w:r w:rsidRPr="00CF331B">
        <w:rPr>
          <w:rFonts w:ascii="Calibri" w:hAnsi="Calibri" w:cs="Times New Roman"/>
          <w:b/>
          <w:color w:val="auto"/>
          <w:lang w:eastAsia="fr-FR"/>
        </w:rPr>
        <w:t>Les autres taxes à venir</w:t>
      </w:r>
    </w:p>
    <w:p w:rsidR="003D702D" w:rsidRPr="00933063" w:rsidRDefault="003D702D" w:rsidP="00B100E0">
      <w:pPr>
        <w:pStyle w:val="Default"/>
        <w:jc w:val="both"/>
        <w:rPr>
          <w:rFonts w:ascii="Calibri" w:hAnsi="Calibri" w:cs="Times New Roman"/>
          <w:lang w:eastAsia="fr-FR"/>
        </w:rPr>
      </w:pPr>
      <w:r w:rsidRPr="00933063">
        <w:rPr>
          <w:rFonts w:ascii="Calibri" w:hAnsi="Calibri" w:cs="Times New Roman"/>
          <w:lang w:eastAsia="fr-FR"/>
        </w:rPr>
        <w:t>Il est à prévoir sans consulter une quelconque boule de cristal que ces TSB ne permettront pas de lever les 60% des 7,1 ou 8 Md€ sensés permettre la construction de cette LGV.</w:t>
      </w:r>
    </w:p>
    <w:p w:rsidR="003D702D" w:rsidRPr="00933063" w:rsidRDefault="003D702D" w:rsidP="00B100E0">
      <w:pPr>
        <w:pStyle w:val="Default"/>
        <w:jc w:val="both"/>
        <w:rPr>
          <w:rFonts w:ascii="Calibri" w:hAnsi="Calibri" w:cs="Times New Roman"/>
          <w:lang w:eastAsia="fr-FR"/>
        </w:rPr>
      </w:pPr>
    </w:p>
    <w:p w:rsidR="003D702D" w:rsidRPr="00933063" w:rsidRDefault="003D702D" w:rsidP="00B100E0">
      <w:pPr>
        <w:pStyle w:val="Default"/>
        <w:jc w:val="both"/>
        <w:rPr>
          <w:rFonts w:ascii="Calibri" w:hAnsi="Calibri" w:cs="Times New Roman"/>
          <w:lang w:eastAsia="fr-FR"/>
        </w:rPr>
      </w:pPr>
      <w:r w:rsidRPr="00933063">
        <w:rPr>
          <w:rFonts w:ascii="Calibri" w:hAnsi="Calibri" w:cs="Times New Roman"/>
          <w:lang w:eastAsia="fr-FR"/>
        </w:rPr>
        <w:t>D’autres impôts indirects sous forme de différentes taxes seront imaginés, justifiés et  s’ajouteront, évidemment, à ces TSB.</w:t>
      </w:r>
    </w:p>
    <w:p w:rsidR="003D702D" w:rsidRPr="00933063" w:rsidRDefault="003D702D" w:rsidP="00B100E0">
      <w:pPr>
        <w:pStyle w:val="Default"/>
        <w:jc w:val="both"/>
        <w:rPr>
          <w:rFonts w:ascii="Calibri" w:hAnsi="Calibri" w:cs="Times New Roman"/>
          <w:lang w:eastAsia="fr-FR"/>
        </w:rPr>
      </w:pPr>
    </w:p>
    <w:p w:rsidR="003D702D" w:rsidRPr="00933063" w:rsidRDefault="003D702D" w:rsidP="00B100E0">
      <w:pPr>
        <w:pStyle w:val="Default"/>
        <w:jc w:val="both"/>
        <w:rPr>
          <w:rFonts w:ascii="Calibri" w:hAnsi="Calibri" w:cs="Times New Roman"/>
          <w:lang w:eastAsia="fr-FR"/>
        </w:rPr>
      </w:pPr>
      <w:r w:rsidRPr="00933063">
        <w:rPr>
          <w:rFonts w:ascii="Calibri" w:hAnsi="Calibri" w:cs="Times New Roman"/>
          <w:lang w:eastAsia="fr-FR"/>
        </w:rPr>
        <w:t xml:space="preserve">Attendons-nous donc à les voir fleurir. </w:t>
      </w:r>
    </w:p>
    <w:p w:rsidR="003D702D" w:rsidRPr="00CF331B" w:rsidRDefault="003D702D" w:rsidP="00B100E0">
      <w:pPr>
        <w:pStyle w:val="Default"/>
        <w:jc w:val="both"/>
        <w:rPr>
          <w:rFonts w:ascii="Calibri" w:hAnsi="Calibri" w:cs="Times New Roman"/>
          <w:lang w:eastAsia="fr-FR"/>
        </w:rPr>
      </w:pPr>
    </w:p>
    <w:p w:rsidR="003D702D" w:rsidRPr="003D46E2" w:rsidRDefault="003D702D" w:rsidP="00B100E0">
      <w:pPr>
        <w:pStyle w:val="Default"/>
        <w:numPr>
          <w:ilvl w:val="0"/>
          <w:numId w:val="2"/>
        </w:numPr>
        <w:jc w:val="both"/>
        <w:rPr>
          <w:rFonts w:ascii="Calibri" w:hAnsi="Calibri" w:cs="Times New Roman"/>
          <w:sz w:val="28"/>
          <w:szCs w:val="28"/>
          <w:lang w:eastAsia="fr-FR"/>
        </w:rPr>
      </w:pPr>
      <w:r w:rsidRPr="003D46E2">
        <w:rPr>
          <w:rFonts w:ascii="Calibri" w:hAnsi="Calibri" w:cs="Times New Roman"/>
          <w:b/>
          <w:sz w:val="28"/>
          <w:szCs w:val="28"/>
          <w:lang w:eastAsia="fr-FR"/>
        </w:rPr>
        <w:t>En conclusion</w:t>
      </w:r>
    </w:p>
    <w:p w:rsidR="003D702D" w:rsidRDefault="003D702D" w:rsidP="00B100E0">
      <w:pPr>
        <w:pStyle w:val="Default"/>
        <w:jc w:val="both"/>
        <w:rPr>
          <w:rFonts w:ascii="Calibri" w:hAnsi="Calibri" w:cs="Times New Roman"/>
          <w:lang w:eastAsia="fr-FR"/>
        </w:rPr>
      </w:pPr>
    </w:p>
    <w:p w:rsidR="003D702D" w:rsidRPr="00933063" w:rsidRDefault="003D702D" w:rsidP="00B100E0">
      <w:pPr>
        <w:pStyle w:val="Default"/>
        <w:jc w:val="both"/>
        <w:rPr>
          <w:rFonts w:ascii="Calibri" w:hAnsi="Calibri" w:cs="Times New Roman"/>
          <w:color w:val="auto"/>
          <w:lang w:eastAsia="fr-FR"/>
        </w:rPr>
      </w:pPr>
      <w:r w:rsidRPr="00933063">
        <w:rPr>
          <w:rFonts w:ascii="Calibri" w:hAnsi="Calibri" w:cs="Times New Roman"/>
          <w:color w:val="auto"/>
          <w:lang w:eastAsia="fr-FR"/>
        </w:rPr>
        <w:t xml:space="preserve">Recourir au modèle de société de projet du Grand Paris Express, qui prévoit 68 gares avec de nouveaux quartiers générant des utilisateurs alors que la LGV accentuera la métropolisation de Bordeaux et de Toulouse en « désertifiant » économiquement les villes moyennes est une hérésie. </w:t>
      </w:r>
    </w:p>
    <w:p w:rsidR="003D702D" w:rsidRPr="00933063" w:rsidRDefault="003D702D" w:rsidP="00B100E0">
      <w:pPr>
        <w:pStyle w:val="Default"/>
        <w:jc w:val="both"/>
        <w:rPr>
          <w:rFonts w:ascii="Calibri" w:hAnsi="Calibri" w:cs="Times New Roman"/>
          <w:color w:val="auto"/>
          <w:lang w:eastAsia="fr-FR"/>
        </w:rPr>
      </w:pPr>
    </w:p>
    <w:p w:rsidR="003D702D" w:rsidRPr="00933063" w:rsidRDefault="003D702D" w:rsidP="00B100E0">
      <w:pPr>
        <w:pStyle w:val="Default"/>
        <w:jc w:val="both"/>
        <w:rPr>
          <w:rFonts w:ascii="Calibri" w:hAnsi="Calibri" w:cs="Times New Roman"/>
          <w:color w:val="auto"/>
          <w:lang w:eastAsia="fr-FR"/>
        </w:rPr>
      </w:pPr>
      <w:r w:rsidRPr="00933063">
        <w:rPr>
          <w:rFonts w:ascii="Calibri" w:hAnsi="Calibri" w:cs="Times New Roman"/>
          <w:color w:val="auto"/>
          <w:lang w:eastAsia="fr-FR"/>
        </w:rPr>
        <w:t xml:space="preserve">Les seuls quartiers d’Euratlantique à Bordeaux et de Matabiau à Toulouse ne peuvent générer autant d'utilisateurs, les augmenter encore démesurément n'aboutirait qu'à aspirer davantage les activités tertiaires des autres villes moyennes. </w:t>
      </w:r>
    </w:p>
    <w:p w:rsidR="003D702D" w:rsidRPr="00933063" w:rsidRDefault="003D702D" w:rsidP="00B100E0">
      <w:pPr>
        <w:pStyle w:val="Default"/>
        <w:jc w:val="both"/>
        <w:rPr>
          <w:rFonts w:ascii="Calibri" w:hAnsi="Calibri" w:cs="Times New Roman"/>
          <w:lang w:eastAsia="fr-FR"/>
        </w:rPr>
      </w:pPr>
    </w:p>
    <w:p w:rsidR="003D702D" w:rsidRPr="00933063" w:rsidRDefault="003D702D" w:rsidP="00B100E0">
      <w:pPr>
        <w:pStyle w:val="Default"/>
        <w:jc w:val="both"/>
        <w:rPr>
          <w:rFonts w:ascii="Calibri" w:hAnsi="Calibri" w:cs="Times New Roman"/>
          <w:lang w:eastAsia="fr-FR"/>
        </w:rPr>
      </w:pPr>
      <w:r w:rsidRPr="00933063">
        <w:rPr>
          <w:rFonts w:ascii="Calibri" w:hAnsi="Calibri" w:cs="Times New Roman"/>
          <w:lang w:eastAsia="fr-FR"/>
        </w:rPr>
        <w:t>Recourir à un empilement de taxes, car il y a fort à parier que de nouvelles taxes verront le jour, pour financer un projet qui a reçu un avis défavorable de la commission d’enquête publique est un non-sens comme le souligne Yves Crozet, </w:t>
      </w:r>
      <w:r w:rsidRPr="00933063">
        <w:rPr>
          <w:rFonts w:ascii="Calibri" w:hAnsi="Calibri"/>
        </w:rPr>
        <w:t xml:space="preserve">économiste, spécialiste de l’économie des transports, </w:t>
      </w:r>
      <w:r w:rsidRPr="00933063">
        <w:rPr>
          <w:rFonts w:ascii="Calibri" w:hAnsi="Calibri" w:cs="Times New Roman"/>
          <w:lang w:eastAsia="fr-FR"/>
        </w:rPr>
        <w:t xml:space="preserve"> ancien administrateur de Réseau ferré de France :</w:t>
      </w:r>
    </w:p>
    <w:p w:rsidR="003D702D" w:rsidRPr="00933063" w:rsidRDefault="003D702D" w:rsidP="00B100E0">
      <w:pPr>
        <w:pStyle w:val="Default"/>
        <w:jc w:val="both"/>
        <w:rPr>
          <w:rFonts w:ascii="Calibri" w:hAnsi="Calibri"/>
          <w:color w:val="auto"/>
        </w:rPr>
      </w:pPr>
      <w:r w:rsidRPr="00933063">
        <w:rPr>
          <w:rFonts w:ascii="Calibri" w:hAnsi="Calibri" w:cs="Times New Roman"/>
          <w:i/>
          <w:color w:val="auto"/>
          <w:lang w:eastAsia="fr-FR"/>
        </w:rPr>
        <w:t>« </w:t>
      </w:r>
      <w:r w:rsidRPr="00933063">
        <w:rPr>
          <w:rFonts w:ascii="Calibri" w:hAnsi="Calibri"/>
          <w:i/>
          <w:color w:val="auto"/>
        </w:rPr>
        <w:t>Dans un pays où sévit le ras-le-bol fiscal, faut-il en rajouter dans la fuite en avant de la grande vitesse ? </w:t>
      </w:r>
      <w:r w:rsidRPr="00933063">
        <w:rPr>
          <w:rStyle w:val="FootnoteReference"/>
          <w:rFonts w:ascii="Calibri" w:hAnsi="Calibri" w:cs="Corbel"/>
          <w:i/>
          <w:color w:val="auto"/>
        </w:rPr>
        <w:footnoteReference w:id="15"/>
      </w:r>
      <w:r w:rsidRPr="00933063">
        <w:rPr>
          <w:rFonts w:ascii="Calibri" w:hAnsi="Calibri"/>
          <w:i/>
          <w:color w:val="auto"/>
        </w:rPr>
        <w:t>»</w:t>
      </w:r>
      <w:r w:rsidRPr="00933063">
        <w:rPr>
          <w:rFonts w:ascii="Calibri" w:hAnsi="Calibri"/>
          <w:color w:val="auto"/>
        </w:rPr>
        <w:t xml:space="preserve"> </w:t>
      </w:r>
    </w:p>
    <w:p w:rsidR="003D702D" w:rsidRPr="00933063" w:rsidRDefault="003D702D" w:rsidP="00B100E0">
      <w:pPr>
        <w:pStyle w:val="Default"/>
        <w:jc w:val="both"/>
        <w:rPr>
          <w:rFonts w:ascii="Calibri" w:hAnsi="Calibri"/>
          <w:color w:val="auto"/>
        </w:rPr>
      </w:pPr>
    </w:p>
    <w:p w:rsidR="003D702D" w:rsidRPr="00B100E0" w:rsidRDefault="003D702D" w:rsidP="00B100E0">
      <w:pPr>
        <w:spacing w:after="240" w:line="240" w:lineRule="auto"/>
        <w:jc w:val="both"/>
        <w:rPr>
          <w:i/>
          <w:sz w:val="24"/>
        </w:rPr>
      </w:pPr>
      <w:r w:rsidRPr="00B100E0">
        <w:rPr>
          <w:sz w:val="24"/>
        </w:rPr>
        <w:t>Mais il ne faut pas omettre de rappeler que « </w:t>
      </w:r>
      <w:r w:rsidRPr="00B100E0">
        <w:rPr>
          <w:i/>
          <w:sz w:val="24"/>
        </w:rPr>
        <w:t>l’intérêt de la société de projet est que la décision de son financement est prise sur le fondement des performances futures d’un projet unique d’une durée limitée</w:t>
      </w:r>
      <w:r w:rsidRPr="00B100E0">
        <w:rPr>
          <w:sz w:val="24"/>
        </w:rPr>
        <w:t> »</w:t>
      </w:r>
      <w:r w:rsidRPr="00933063">
        <w:rPr>
          <w:sz w:val="24"/>
          <w:vertAlign w:val="superscript"/>
        </w:rPr>
        <w:footnoteReference w:id="16"/>
      </w:r>
      <w:r w:rsidRPr="00B100E0">
        <w:rPr>
          <w:sz w:val="24"/>
        </w:rPr>
        <w:t>…</w:t>
      </w:r>
      <w:r w:rsidRPr="009F3256">
        <w:rPr>
          <w:sz w:val="24"/>
        </w:rPr>
        <w:t>Cette structure de financement est donc «sans recours», puisqu’en cas de défaillance de la société de projet, les prêteurs n’ont, en principe, pas de recours contre les promoteurs du projet pour obtenir le remboursement des montants prêtés.</w:t>
      </w:r>
    </w:p>
    <w:p w:rsidR="003D702D" w:rsidRPr="00B100E0" w:rsidRDefault="003D702D" w:rsidP="00B100E0">
      <w:pPr>
        <w:spacing w:after="240" w:line="240" w:lineRule="auto"/>
        <w:jc w:val="both"/>
        <w:rPr>
          <w:sz w:val="24"/>
        </w:rPr>
      </w:pPr>
      <w:r w:rsidRPr="00B100E0">
        <w:rPr>
          <w:sz w:val="24"/>
        </w:rPr>
        <w:t>De toutes façons cela nécessite de déterminer en amont</w:t>
      </w:r>
      <w:r>
        <w:rPr>
          <w:sz w:val="24"/>
        </w:rPr>
        <w:t> :</w:t>
      </w:r>
      <w:r w:rsidRPr="00B100E0">
        <w:rPr>
          <w:sz w:val="24"/>
        </w:rPr>
        <w:t xml:space="preserve"> </w:t>
      </w:r>
    </w:p>
    <w:p w:rsidR="003D702D" w:rsidRPr="00B100E0" w:rsidRDefault="003D702D" w:rsidP="00B100E0">
      <w:pPr>
        <w:spacing w:after="240" w:line="240" w:lineRule="auto"/>
        <w:ind w:left="454"/>
        <w:jc w:val="both"/>
        <w:rPr>
          <w:sz w:val="24"/>
        </w:rPr>
      </w:pPr>
      <w:r w:rsidRPr="00B100E0">
        <w:rPr>
          <w:sz w:val="24"/>
        </w:rPr>
        <w:t>•Les contours du projet de manière précise</w:t>
      </w:r>
    </w:p>
    <w:p w:rsidR="003D702D" w:rsidRPr="00B100E0" w:rsidRDefault="003D702D" w:rsidP="00B100E0">
      <w:pPr>
        <w:spacing w:after="240" w:line="240" w:lineRule="auto"/>
        <w:ind w:left="454"/>
        <w:jc w:val="both"/>
        <w:rPr>
          <w:sz w:val="24"/>
        </w:rPr>
      </w:pPr>
      <w:r w:rsidRPr="00B100E0">
        <w:rPr>
          <w:sz w:val="24"/>
        </w:rPr>
        <w:t>•Les capacités économiques du projet  (coûts, recettes, avantages économiques,...)</w:t>
      </w:r>
    </w:p>
    <w:p w:rsidR="003D702D" w:rsidRPr="00B100E0" w:rsidRDefault="003D702D" w:rsidP="00B100E0">
      <w:pPr>
        <w:spacing w:after="240" w:line="240" w:lineRule="auto"/>
        <w:ind w:left="454"/>
        <w:jc w:val="both"/>
        <w:rPr>
          <w:sz w:val="24"/>
        </w:rPr>
      </w:pPr>
      <w:r w:rsidRPr="00B100E0">
        <w:rPr>
          <w:sz w:val="24"/>
        </w:rPr>
        <w:t>•La détermination des risques inhérents au projet</w:t>
      </w:r>
    </w:p>
    <w:p w:rsidR="003D702D" w:rsidRPr="00B100E0" w:rsidRDefault="003D702D" w:rsidP="00B100E0">
      <w:pPr>
        <w:spacing w:after="240" w:line="240" w:lineRule="auto"/>
        <w:ind w:left="454"/>
        <w:jc w:val="both"/>
        <w:rPr>
          <w:sz w:val="24"/>
        </w:rPr>
      </w:pPr>
      <w:r w:rsidRPr="00B100E0">
        <w:rPr>
          <w:sz w:val="24"/>
        </w:rPr>
        <w:t>•Les différents types d’investissement envisagés (fonds propres, dettes, subvention...)</w:t>
      </w:r>
    </w:p>
    <w:p w:rsidR="003D702D" w:rsidRPr="00B100E0" w:rsidRDefault="003D702D" w:rsidP="00B100E0">
      <w:pPr>
        <w:spacing w:after="240" w:line="240" w:lineRule="auto"/>
        <w:ind w:left="454"/>
        <w:jc w:val="both"/>
        <w:rPr>
          <w:sz w:val="24"/>
        </w:rPr>
      </w:pPr>
      <w:r w:rsidRPr="00B100E0">
        <w:rPr>
          <w:sz w:val="24"/>
        </w:rPr>
        <w:t>•Les contributeurs potentiels (privés, institutionnels)</w:t>
      </w:r>
    </w:p>
    <w:p w:rsidR="003D702D" w:rsidRPr="00B100E0" w:rsidRDefault="003D702D" w:rsidP="00B100E0">
      <w:pPr>
        <w:spacing w:after="240" w:line="240" w:lineRule="auto"/>
        <w:ind w:left="454"/>
        <w:jc w:val="both"/>
        <w:rPr>
          <w:sz w:val="24"/>
        </w:rPr>
      </w:pPr>
      <w:r w:rsidRPr="00B100E0">
        <w:rPr>
          <w:sz w:val="24"/>
        </w:rPr>
        <w:t>•Les garanties et sûretés envisageables</w:t>
      </w:r>
    </w:p>
    <w:p w:rsidR="003D702D" w:rsidRPr="00B100E0" w:rsidRDefault="003D702D" w:rsidP="00B100E0">
      <w:pPr>
        <w:spacing w:after="240" w:line="240" w:lineRule="auto"/>
        <w:jc w:val="both"/>
        <w:rPr>
          <w:sz w:val="24"/>
        </w:rPr>
      </w:pPr>
      <w:r w:rsidRPr="00B100E0">
        <w:rPr>
          <w:sz w:val="24"/>
        </w:rPr>
        <w:t>Il reste donc quelques questions aujourd’hui sans réponse : où ont été définies ces caractéristiques ?</w:t>
      </w:r>
    </w:p>
    <w:p w:rsidR="003D702D" w:rsidRPr="00B100E0" w:rsidRDefault="003D702D" w:rsidP="00B100E0">
      <w:pPr>
        <w:spacing w:after="240" w:line="240" w:lineRule="auto"/>
        <w:jc w:val="both"/>
        <w:rPr>
          <w:sz w:val="24"/>
        </w:rPr>
      </w:pPr>
      <w:r w:rsidRPr="00B100E0">
        <w:rPr>
          <w:sz w:val="24"/>
        </w:rPr>
        <w:t>La saga de la société de projet de la LGV Bordeaux-Toulouse ne fait que commencer, ne faut-il pas s’attendre au pire</w:t>
      </w:r>
      <w:r>
        <w:rPr>
          <w:sz w:val="24"/>
        </w:rPr>
        <w:t>…</w:t>
      </w:r>
      <w:bookmarkStart w:id="0" w:name="_GoBack"/>
      <w:bookmarkEnd w:id="0"/>
    </w:p>
    <w:p w:rsidR="003D702D" w:rsidRDefault="003D702D" w:rsidP="00B100E0">
      <w:pPr>
        <w:pStyle w:val="Default"/>
        <w:jc w:val="both"/>
        <w:rPr>
          <w:rFonts w:ascii="Calibri" w:hAnsi="Calibri"/>
          <w:b/>
          <w:color w:val="auto"/>
          <w:sz w:val="28"/>
          <w:szCs w:val="28"/>
        </w:rPr>
      </w:pPr>
      <w:r w:rsidRPr="001F2C65">
        <w:rPr>
          <w:noProof/>
          <w:lang w:val="en-US"/>
        </w:rPr>
        <w:pict>
          <v:shape id="_x0000_i1027" type="#_x0000_t75" alt="lgv14_01[1]" style="width:453.75pt;height:219pt;visibility:visible">
            <v:imagedata r:id="rId9" o:title="" cropbottom="15195f" grayscale="t"/>
          </v:shape>
        </w:pict>
      </w:r>
    </w:p>
    <w:p w:rsidR="003D702D" w:rsidRDefault="003D702D" w:rsidP="00B100E0">
      <w:pPr>
        <w:pStyle w:val="Default"/>
        <w:jc w:val="both"/>
        <w:rPr>
          <w:rFonts w:ascii="Calibri" w:hAnsi="Calibri"/>
          <w:b/>
          <w:color w:val="auto"/>
          <w:sz w:val="28"/>
          <w:szCs w:val="28"/>
        </w:rPr>
      </w:pPr>
    </w:p>
    <w:p w:rsidR="003D702D" w:rsidRDefault="003D702D" w:rsidP="00B100E0">
      <w:pPr>
        <w:pStyle w:val="Default"/>
        <w:jc w:val="both"/>
        <w:rPr>
          <w:rFonts w:ascii="Calibri" w:hAnsi="Calibri"/>
          <w:b/>
          <w:color w:val="auto"/>
          <w:sz w:val="28"/>
          <w:szCs w:val="28"/>
        </w:rPr>
      </w:pPr>
    </w:p>
    <w:p w:rsidR="003D702D" w:rsidRPr="00931470" w:rsidRDefault="003D702D" w:rsidP="00B100E0">
      <w:pPr>
        <w:pStyle w:val="Default"/>
        <w:jc w:val="center"/>
        <w:rPr>
          <w:rFonts w:ascii="Calibri" w:hAnsi="Calibri"/>
          <w:b/>
          <w:color w:val="auto"/>
          <w:sz w:val="28"/>
          <w:szCs w:val="28"/>
        </w:rPr>
      </w:pPr>
      <w:r w:rsidRPr="00931470">
        <w:rPr>
          <w:rFonts w:ascii="Calibri" w:hAnsi="Calibri"/>
          <w:b/>
          <w:color w:val="auto"/>
          <w:sz w:val="28"/>
          <w:szCs w:val="28"/>
        </w:rPr>
        <w:t>Annexe</w:t>
      </w:r>
    </w:p>
    <w:p w:rsidR="003D702D" w:rsidRPr="00931470" w:rsidRDefault="003D702D" w:rsidP="00B100E0">
      <w:pPr>
        <w:spacing w:before="100" w:beforeAutospacing="1" w:after="100" w:afterAutospacing="1" w:line="240" w:lineRule="auto"/>
        <w:jc w:val="both"/>
        <w:outlineLvl w:val="0"/>
        <w:rPr>
          <w:b/>
          <w:bCs/>
          <w:kern w:val="36"/>
          <w:sz w:val="28"/>
          <w:szCs w:val="28"/>
          <w:lang w:eastAsia="fr-FR"/>
        </w:rPr>
      </w:pPr>
      <w:r w:rsidRPr="00931470">
        <w:rPr>
          <w:b/>
          <w:bCs/>
          <w:kern w:val="36"/>
          <w:sz w:val="28"/>
          <w:szCs w:val="28"/>
          <w:lang w:eastAsia="fr-FR"/>
        </w:rPr>
        <w:t xml:space="preserve">LGV Toulouse-Bordeaux : « faire reposer le financement sur la fiscalité est extrêmement ambitieux » </w:t>
      </w:r>
    </w:p>
    <w:p w:rsidR="003D702D" w:rsidRPr="00931470" w:rsidRDefault="003D702D" w:rsidP="00B100E0">
      <w:pPr>
        <w:spacing w:after="0" w:line="240" w:lineRule="auto"/>
        <w:jc w:val="both"/>
        <w:rPr>
          <w:sz w:val="24"/>
          <w:szCs w:val="24"/>
          <w:lang w:eastAsia="fr-FR"/>
        </w:rPr>
      </w:pPr>
      <w:r w:rsidRPr="00931470">
        <w:rPr>
          <w:sz w:val="24"/>
          <w:szCs w:val="24"/>
          <w:lang w:eastAsia="fr-FR"/>
        </w:rPr>
        <w:t>&gt;  Le financement de la LGV Bordeaux-Toulouse via une nouvelle taxe sur les entreprises a provoqué la colère du monde économique toulousain. ToulÉco a demandé son point de vue à un expert en fiscalité. Interview d’Éric Tripodi, du cabinet de conseil ÉcoFinance.</w:t>
      </w:r>
    </w:p>
    <w:p w:rsidR="003D702D" w:rsidRPr="00931470" w:rsidRDefault="003D702D" w:rsidP="00B100E0">
      <w:pPr>
        <w:spacing w:before="100" w:beforeAutospacing="1" w:after="100" w:afterAutospacing="1" w:line="240" w:lineRule="auto"/>
        <w:jc w:val="both"/>
        <w:rPr>
          <w:sz w:val="24"/>
          <w:szCs w:val="24"/>
          <w:lang w:eastAsia="fr-FR"/>
        </w:rPr>
      </w:pPr>
      <w:r w:rsidRPr="00931470">
        <w:rPr>
          <w:sz w:val="24"/>
          <w:szCs w:val="24"/>
          <w:lang w:eastAsia="fr-FR"/>
        </w:rPr>
        <w:t xml:space="preserve">Rappel des faits : Lors d’une conférence de presse le 21 janvier, le président du Ceser et d’EuroSud Team Jean-Louis Chauzy a sorti un chiffre « choc » en assurant que </w:t>
      </w:r>
      <w:hyperlink r:id="rId10" w:tgtFrame="_blank" w:tooltip="60 % du financement de la LGV serait porté par une nouvelle taxe sur les entreprises - Nouvelle fenêtre" w:history="1">
        <w:r w:rsidRPr="00931470">
          <w:rPr>
            <w:color w:val="0000FF"/>
            <w:sz w:val="24"/>
            <w:szCs w:val="24"/>
            <w:u w:val="single"/>
            <w:lang w:eastAsia="fr-FR"/>
          </w:rPr>
          <w:t>60 % du financement de la LGV serait porté par une nouvelle taxe sur les entreprises</w:t>
        </w:r>
      </w:hyperlink>
      <w:r w:rsidRPr="00931470">
        <w:rPr>
          <w:sz w:val="24"/>
          <w:szCs w:val="24"/>
          <w:lang w:eastAsia="fr-FR"/>
        </w:rPr>
        <w:t xml:space="preserve">. Un chiffre en réalité imprécis, qui a provoqué la </w:t>
      </w:r>
      <w:hyperlink r:id="rId11" w:tgtFrame="_blank" w:tooltip="colère du monde économique toulousain - Nouvelle fenêtre" w:history="1">
        <w:r w:rsidRPr="00931470">
          <w:rPr>
            <w:color w:val="0000FF"/>
            <w:sz w:val="24"/>
            <w:szCs w:val="24"/>
            <w:u w:val="single"/>
            <w:lang w:eastAsia="fr-FR"/>
          </w:rPr>
          <w:t>colère du monde économique toulousain</w:t>
        </w:r>
      </w:hyperlink>
      <w:r w:rsidRPr="00931470">
        <w:rPr>
          <w:sz w:val="24"/>
          <w:szCs w:val="24"/>
          <w:lang w:eastAsia="fr-FR"/>
        </w:rPr>
        <w:t>, mais permis de remettre le dossier de la LGV sur la table, alors que la loi LOM vient d’être adoptée.</w:t>
      </w:r>
    </w:p>
    <w:p w:rsidR="003D702D" w:rsidRPr="00931470" w:rsidRDefault="003D702D" w:rsidP="00B100E0">
      <w:pPr>
        <w:spacing w:before="100" w:beforeAutospacing="1" w:after="100" w:afterAutospacing="1" w:line="240" w:lineRule="auto"/>
        <w:jc w:val="both"/>
        <w:rPr>
          <w:sz w:val="24"/>
          <w:szCs w:val="24"/>
          <w:lang w:eastAsia="fr-FR"/>
        </w:rPr>
      </w:pPr>
      <w:r w:rsidRPr="00931470">
        <w:rPr>
          <w:sz w:val="24"/>
          <w:szCs w:val="24"/>
          <w:lang w:eastAsia="fr-FR"/>
        </w:rPr>
        <w:t xml:space="preserve">Ré-interrogée par la suite sur ce chiffre par </w:t>
      </w:r>
      <w:r w:rsidRPr="00931470">
        <w:rPr>
          <w:i/>
          <w:iCs/>
          <w:sz w:val="24"/>
          <w:szCs w:val="24"/>
          <w:lang w:eastAsia="fr-FR"/>
        </w:rPr>
        <w:t>ToulÉco</w:t>
      </w:r>
      <w:r w:rsidRPr="00931470">
        <w:rPr>
          <w:sz w:val="24"/>
          <w:szCs w:val="24"/>
          <w:lang w:eastAsia="fr-FR"/>
        </w:rPr>
        <w:t>, la directrice d’EuroSud Team, Valérie Cormier, tempère : « Certaines ressources existent déjà comme la TICPE Grenelle (et il y en a d’autres…), mais seraient dirigées directement vers la société de projet. D’autres pourraient être créées spécifiquement, comme la taxe sur les bureaux en vigueur seulement en Île-de-France. Cela concernerait uniquement les zones d’impact de la LGV, là où elle crée beaucoup de valeur, immobilière notamment. C’est pourquoi parler d’une seule taxe sur les entreprises est inexact et inapproprié".</w:t>
      </w:r>
    </w:p>
    <w:p w:rsidR="003D702D" w:rsidRPr="00931470" w:rsidRDefault="003D702D" w:rsidP="00B100E0">
      <w:pPr>
        <w:spacing w:before="100" w:beforeAutospacing="1" w:after="100" w:afterAutospacing="1" w:line="240" w:lineRule="auto"/>
        <w:jc w:val="both"/>
        <w:rPr>
          <w:sz w:val="24"/>
          <w:szCs w:val="24"/>
          <w:lang w:eastAsia="fr-FR"/>
        </w:rPr>
      </w:pPr>
      <w:r w:rsidRPr="00931470">
        <w:rPr>
          <w:sz w:val="24"/>
          <w:szCs w:val="24"/>
          <w:lang w:eastAsia="fr-FR"/>
        </w:rPr>
        <w:t>Donc, contrairement à ce qu’a annoncé Jean-Louis Chauzy, on ne peut pas dire que 60% du financement sera appuyé sur la nouvelle "taxe bureau". "En effet, c’est l’ensemble des ressources fiscales existantes ou nouvelles qui seront attribuées directement à la société de projet (sans passer par Bercy, ni le budget des collectivités) qui pourraient atteindre ces 60% de financement réparti sur une durée de 50 ans », confirme Valérie Cormier.</w:t>
      </w:r>
    </w:p>
    <w:p w:rsidR="003D702D" w:rsidRPr="00931470" w:rsidRDefault="003D702D" w:rsidP="00B100E0">
      <w:pPr>
        <w:spacing w:before="100" w:beforeAutospacing="1" w:after="100" w:afterAutospacing="1" w:line="240" w:lineRule="auto"/>
        <w:jc w:val="both"/>
        <w:rPr>
          <w:sz w:val="24"/>
          <w:szCs w:val="24"/>
          <w:lang w:eastAsia="fr-FR"/>
        </w:rPr>
      </w:pPr>
      <w:r w:rsidRPr="00931470">
        <w:rPr>
          <w:b/>
          <w:bCs/>
          <w:sz w:val="24"/>
          <w:szCs w:val="24"/>
          <w:lang w:eastAsia="fr-FR"/>
        </w:rPr>
        <w:t>Éric Tripodi, vous êtes directeur adjoint du cabinet de conseil ÉcoFinance. Que vous inspirent les récentes déclarations au sujet du financement de la LGV ?</w:t>
      </w:r>
      <w:r w:rsidRPr="00931470">
        <w:rPr>
          <w:sz w:val="24"/>
          <w:szCs w:val="24"/>
          <w:lang w:eastAsia="fr-FR"/>
        </w:rPr>
        <w:br/>
        <w:t>Il semble que les bases du portage du projet restent encore très hypothétiques. Ne sont connus ni les modes ni les sources de financement, ni les investisseurs, ni les études d’impact… Ce projet est donc plutôt un avant-projet.</w:t>
      </w:r>
    </w:p>
    <w:p w:rsidR="003D702D" w:rsidRPr="00931470" w:rsidRDefault="003D702D" w:rsidP="00B100E0">
      <w:pPr>
        <w:spacing w:before="100" w:beforeAutospacing="1" w:after="100" w:afterAutospacing="1" w:line="240" w:lineRule="auto"/>
        <w:jc w:val="both"/>
        <w:rPr>
          <w:sz w:val="24"/>
          <w:szCs w:val="24"/>
          <w:lang w:eastAsia="fr-FR"/>
        </w:rPr>
      </w:pPr>
      <w:r w:rsidRPr="00931470">
        <w:rPr>
          <w:b/>
          <w:bCs/>
          <w:sz w:val="24"/>
          <w:szCs w:val="24"/>
          <w:lang w:eastAsia="fr-FR"/>
        </w:rPr>
        <w:t xml:space="preserve">Pensez-vous qu’une nouvelle « taxe bureau » puisse être acceptée par les entreprises ? </w:t>
      </w:r>
      <w:r w:rsidRPr="00931470">
        <w:rPr>
          <w:sz w:val="24"/>
          <w:szCs w:val="24"/>
          <w:lang w:eastAsia="fr-FR"/>
        </w:rPr>
        <w:br/>
        <w:t>Une "taxe sur les bureaux" similaire à celle existante en Île-de-France, sur des "zones d’impact" où se créerait de la "valeur"… voilà une approche qui semble être fortement aléatoire en termes de recettes : comment déterminer a priori des zones qui vont bénéficier de l’effet LGV alors que celle-ci n’est même pas construite ? Les entreprises vont-elles venir s’installer dans ces zones alors qu’elles savent qu’elles vont être "surtaxées" ? Quelle prévision peut-on faire sur des recettes fiscales destinées à des investissements sur cinquante ans, qui proviendraient d’entreprises qui vont ouvrir, fermer, déménager en fonction de leurs cycles d’activité ? Faire reposer 60% du projet sur "l’ensemble des ressources fiscales existantes ou nouvelles", mêmes perçues directement par la société projet, semble donc extrêmement ambitieux. Normalement, la fiscalité, vient en complément des financements de l’État, des collectivités et de l’Europe, et ne représente pas un pourcentage si important du financement.</w:t>
      </w:r>
    </w:p>
    <w:p w:rsidR="003D702D" w:rsidRPr="00931470" w:rsidRDefault="003D702D" w:rsidP="00B100E0">
      <w:pPr>
        <w:spacing w:before="100" w:beforeAutospacing="1" w:after="100" w:afterAutospacing="1" w:line="240" w:lineRule="auto"/>
        <w:jc w:val="both"/>
        <w:rPr>
          <w:b/>
          <w:bCs/>
          <w:sz w:val="24"/>
          <w:szCs w:val="24"/>
          <w:lang w:eastAsia="fr-FR"/>
        </w:rPr>
      </w:pPr>
      <w:r w:rsidRPr="00931470">
        <w:rPr>
          <w:b/>
          <w:bCs/>
          <w:sz w:val="24"/>
          <w:szCs w:val="24"/>
          <w:lang w:eastAsia="fr-FR"/>
        </w:rPr>
        <w:t>Il va donc falloir convaincre les entreprises ?</w:t>
      </w:r>
    </w:p>
    <w:p w:rsidR="003D702D" w:rsidRPr="00931470" w:rsidRDefault="003D702D" w:rsidP="00B100E0">
      <w:pPr>
        <w:spacing w:before="100" w:beforeAutospacing="1" w:after="100" w:afterAutospacing="1" w:line="240" w:lineRule="auto"/>
        <w:jc w:val="both"/>
        <w:rPr>
          <w:sz w:val="24"/>
          <w:szCs w:val="24"/>
          <w:lang w:eastAsia="fr-FR"/>
        </w:rPr>
      </w:pPr>
      <w:r w:rsidRPr="00931470">
        <w:rPr>
          <w:sz w:val="24"/>
          <w:szCs w:val="24"/>
          <w:lang w:eastAsia="fr-FR"/>
        </w:rPr>
        <w:t>On aborde là le grand sujet français de la tolérance à la fiscalité : jusqu’où est-on prêt à payer ? En France, nous avons un service public qui nous conduit à une relative tolérance à la fiscalité. Cependant, on est plus enclin à accepter la fiscalité en période de croissance économique que lorsque l’avenir devient incertain. Nous sommes aujourd’hui dans un contexte difficile, où les entreprises payent déjà beaucoup de taxes. Quand on leur dit « vous devez participer à un investissement sur plusieurs décennies », je comprends qu’elles se posent des questions ! Les négociations seront un vrai travail d’équilibriste.</w:t>
      </w:r>
    </w:p>
    <w:p w:rsidR="003D702D" w:rsidRPr="00931470" w:rsidRDefault="003D702D" w:rsidP="00B100E0">
      <w:pPr>
        <w:spacing w:before="100" w:beforeAutospacing="1" w:after="100" w:afterAutospacing="1" w:line="240" w:lineRule="auto"/>
        <w:jc w:val="both"/>
        <w:rPr>
          <w:b/>
          <w:bCs/>
          <w:sz w:val="24"/>
          <w:szCs w:val="24"/>
          <w:lang w:eastAsia="fr-FR"/>
        </w:rPr>
      </w:pPr>
      <w:r w:rsidRPr="00931470">
        <w:rPr>
          <w:b/>
          <w:bCs/>
          <w:sz w:val="24"/>
          <w:szCs w:val="24"/>
          <w:lang w:eastAsia="fr-FR"/>
        </w:rPr>
        <w:t>D’autres pistes sont mises en avant comme une nouvelle répartition de la TICPE (actuellement perçue par la Région)</w:t>
      </w:r>
    </w:p>
    <w:p w:rsidR="003D702D" w:rsidRPr="00931470" w:rsidRDefault="003D702D" w:rsidP="00B100E0">
      <w:pPr>
        <w:spacing w:before="100" w:beforeAutospacing="1" w:after="100" w:afterAutospacing="1" w:line="240" w:lineRule="auto"/>
        <w:jc w:val="both"/>
        <w:rPr>
          <w:sz w:val="24"/>
          <w:szCs w:val="24"/>
          <w:lang w:eastAsia="fr-FR"/>
        </w:rPr>
      </w:pPr>
      <w:r w:rsidRPr="00931470">
        <w:rPr>
          <w:b/>
          <w:bCs/>
          <w:sz w:val="24"/>
          <w:szCs w:val="24"/>
          <w:lang w:eastAsia="fr-FR"/>
        </w:rPr>
        <w:t> </w:t>
      </w:r>
      <w:r w:rsidRPr="00931470">
        <w:rPr>
          <w:sz w:val="24"/>
          <w:szCs w:val="24"/>
          <w:lang w:eastAsia="fr-FR"/>
        </w:rPr>
        <w:t>La TICPE Grenelle est une partie de la taxe sur les carburants, à l’origine de la crise des gilets jaunes, donc un marqueur de contestation important, le gouvernement devrait être attentif à ne pas trop appuyer dessus.</w:t>
      </w:r>
    </w:p>
    <w:p w:rsidR="003D702D" w:rsidRPr="00931470" w:rsidRDefault="003D702D" w:rsidP="00B100E0">
      <w:pPr>
        <w:spacing w:before="100" w:beforeAutospacing="1" w:after="100" w:afterAutospacing="1" w:line="240" w:lineRule="auto"/>
        <w:jc w:val="both"/>
        <w:rPr>
          <w:sz w:val="24"/>
          <w:szCs w:val="24"/>
          <w:lang w:eastAsia="fr-FR"/>
        </w:rPr>
      </w:pPr>
      <w:r w:rsidRPr="00931470">
        <w:rPr>
          <w:i/>
          <w:iCs/>
          <w:sz w:val="24"/>
          <w:szCs w:val="24"/>
          <w:lang w:eastAsia="fr-FR"/>
        </w:rPr>
        <w:t>Propos recueillis par Sophie Arutunian</w:t>
      </w:r>
    </w:p>
    <w:p w:rsidR="003D702D" w:rsidRPr="00931470" w:rsidRDefault="003D702D" w:rsidP="00B100E0">
      <w:pPr>
        <w:jc w:val="both"/>
        <w:rPr>
          <w:sz w:val="24"/>
          <w:szCs w:val="24"/>
        </w:rPr>
      </w:pPr>
      <w:hyperlink r:id="rId12" w:history="1">
        <w:r w:rsidRPr="00931470">
          <w:rPr>
            <w:rStyle w:val="Hyperlink"/>
            <w:sz w:val="24"/>
            <w:szCs w:val="24"/>
          </w:rPr>
          <w:t>https://www.touleco.fr/LGV-Toulouse-Bordeaux-faire-reposer-le-financement-sur-la,28091</w:t>
        </w:r>
      </w:hyperlink>
    </w:p>
    <w:p w:rsidR="003D702D" w:rsidRPr="003D46E2" w:rsidRDefault="003D702D" w:rsidP="00B100E0">
      <w:pPr>
        <w:pStyle w:val="Default"/>
        <w:jc w:val="both"/>
        <w:rPr>
          <w:rFonts w:ascii="Calibri" w:hAnsi="Calibri"/>
          <w:color w:val="0070C0"/>
        </w:rPr>
      </w:pPr>
    </w:p>
    <w:p w:rsidR="003D702D" w:rsidRPr="00C2499B" w:rsidRDefault="003D702D" w:rsidP="00B100E0">
      <w:pPr>
        <w:jc w:val="both"/>
      </w:pPr>
    </w:p>
    <w:sectPr w:rsidR="003D702D" w:rsidRPr="00C2499B" w:rsidSect="00F56938">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02D" w:rsidRDefault="003D702D" w:rsidP="00CF02C4">
      <w:pPr>
        <w:spacing w:after="0" w:line="240" w:lineRule="auto"/>
      </w:pPr>
      <w:r>
        <w:separator/>
      </w:r>
    </w:p>
  </w:endnote>
  <w:endnote w:type="continuationSeparator" w:id="0">
    <w:p w:rsidR="003D702D" w:rsidRDefault="003D702D" w:rsidP="00CF0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204B" w:usb2="00000000" w:usb3="00000000" w:csb0="0000009F" w:csb1="00000000"/>
  </w:font>
  <w:font w:name="Calibri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Ubuntu-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02D" w:rsidRDefault="003D702D">
    <w:pPr>
      <w:pStyle w:val="Footer"/>
      <w:jc w:val="center"/>
    </w:pPr>
    <w:fldSimple w:instr="PAGE   \* MERGEFORMAT">
      <w:r>
        <w:rPr>
          <w:noProof/>
        </w:rPr>
        <w:t>1</w:t>
      </w:r>
    </w:fldSimple>
  </w:p>
  <w:p w:rsidR="003D702D" w:rsidRDefault="003D70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02D" w:rsidRDefault="003D702D" w:rsidP="00CF02C4">
      <w:pPr>
        <w:spacing w:after="0" w:line="240" w:lineRule="auto"/>
      </w:pPr>
      <w:r>
        <w:separator/>
      </w:r>
    </w:p>
  </w:footnote>
  <w:footnote w:type="continuationSeparator" w:id="0">
    <w:p w:rsidR="003D702D" w:rsidRDefault="003D702D" w:rsidP="00CF02C4">
      <w:pPr>
        <w:spacing w:after="0" w:line="240" w:lineRule="auto"/>
      </w:pPr>
      <w:r>
        <w:continuationSeparator/>
      </w:r>
    </w:p>
  </w:footnote>
  <w:footnote w:id="1">
    <w:p w:rsidR="003D702D" w:rsidRDefault="003D702D" w:rsidP="00D07800">
      <w:pPr>
        <w:pStyle w:val="FootnoteText"/>
      </w:pPr>
      <w:r>
        <w:rPr>
          <w:rStyle w:val="FootnoteReference"/>
        </w:rPr>
        <w:footnoteRef/>
      </w:r>
      <w:r w:rsidRPr="005741C7">
        <w:t>https://www.lemoniteur.fr/article/ppp-le-changement-c-est-maintenant.1322999</w:t>
      </w:r>
      <w:r>
        <w:t xml:space="preserve"> </w:t>
      </w:r>
    </w:p>
  </w:footnote>
  <w:footnote w:id="2">
    <w:p w:rsidR="003D702D" w:rsidRDefault="003D702D" w:rsidP="00933063">
      <w:pPr>
        <w:pStyle w:val="Heading1"/>
        <w:numPr>
          <w:ilvl w:val="0"/>
          <w:numId w:val="0"/>
        </w:numPr>
        <w:spacing w:before="0" w:after="0"/>
        <w:ind w:left="454" w:hanging="454"/>
      </w:pPr>
      <w:r w:rsidRPr="00D45827">
        <w:rPr>
          <w:rStyle w:val="FootnoteReference"/>
          <w:rFonts w:ascii="Corbel" w:hAnsi="Corbel"/>
          <w:color w:val="auto"/>
          <w:kern w:val="36"/>
          <w:sz w:val="18"/>
          <w:szCs w:val="18"/>
          <w:lang w:eastAsia="fr-FR"/>
        </w:rPr>
        <w:footnoteRef/>
      </w:r>
      <w:hyperlink r:id="rId1" w:history="1">
        <w:r w:rsidRPr="00933063">
          <w:rPr>
            <w:rStyle w:val="Hyperlink"/>
            <w:rFonts w:ascii="Corbel" w:hAnsi="Corbel"/>
            <w:b w:val="0"/>
            <w:color w:val="auto"/>
            <w:kern w:val="36"/>
            <w:sz w:val="18"/>
            <w:szCs w:val="18"/>
            <w:u w:val="none"/>
            <w:lang w:eastAsia="fr-FR"/>
          </w:rPr>
          <w:t>http://www.aqui.fr/politiques/voeux-alain-rousset-objectif-elections-presidentielles-et-reindustrialisation-de-la-france,5927.html</w:t>
        </w:r>
      </w:hyperlink>
      <w:r w:rsidRPr="00933063">
        <w:rPr>
          <w:rFonts w:ascii="Corbel" w:hAnsi="Corbel"/>
          <w:b w:val="0"/>
          <w:color w:val="auto"/>
          <w:kern w:val="36"/>
          <w:sz w:val="18"/>
          <w:szCs w:val="18"/>
          <w:lang w:eastAsia="fr-FR"/>
        </w:rPr>
        <w:t xml:space="preserve"> </w:t>
      </w:r>
    </w:p>
  </w:footnote>
  <w:footnote w:id="3">
    <w:p w:rsidR="003D702D" w:rsidRDefault="003D702D" w:rsidP="00636013">
      <w:pPr>
        <w:pStyle w:val="FootnoteText"/>
      </w:pPr>
      <w:r>
        <w:rPr>
          <w:rStyle w:val="FootnoteReference"/>
        </w:rPr>
        <w:footnoteRef/>
      </w:r>
      <w:r>
        <w:t xml:space="preserve"> </w:t>
      </w:r>
      <w:r w:rsidRPr="00C35CC9">
        <w:t>https://www.cade-environnement.org/files/2014/11/2008.2973_deliberation-CR-Aqui-2008-100-000-emplois-sur-le-SEA.pdf</w:t>
      </w:r>
    </w:p>
  </w:footnote>
  <w:footnote w:id="4">
    <w:p w:rsidR="003D702D" w:rsidRDefault="003D702D" w:rsidP="00636013">
      <w:pPr>
        <w:pStyle w:val="FootnoteText"/>
      </w:pPr>
      <w:r>
        <w:rPr>
          <w:rStyle w:val="FootnoteReference"/>
        </w:rPr>
        <w:footnoteRef/>
      </w:r>
      <w:r>
        <w:t xml:space="preserve"> N) de délibération 2010.2338.SP</w:t>
      </w:r>
    </w:p>
  </w:footnote>
  <w:footnote w:id="5">
    <w:p w:rsidR="003D702D" w:rsidRDefault="003D702D" w:rsidP="00C2499B">
      <w:pPr>
        <w:pStyle w:val="FootnoteText"/>
      </w:pPr>
      <w:r>
        <w:rPr>
          <w:rStyle w:val="FootnoteReference"/>
        </w:rPr>
        <w:footnoteRef/>
      </w:r>
      <w:r>
        <w:t xml:space="preserve"> </w:t>
      </w:r>
      <w:hyperlink r:id="rId2" w:history="1">
        <w:r w:rsidRPr="00C656A3">
          <w:rPr>
            <w:rStyle w:val="Hyperlink"/>
          </w:rPr>
          <w:t>https://www.ladepeche.fr/article/2016/04/12/2323628-lgv-bordeaux-toulouse-carole-delga-veut-partenariat-public-prive.html</w:t>
        </w:r>
      </w:hyperlink>
    </w:p>
  </w:footnote>
  <w:footnote w:id="6">
    <w:p w:rsidR="003D702D" w:rsidRDefault="003D702D" w:rsidP="00F90F8C">
      <w:pPr>
        <w:pStyle w:val="FootnoteText"/>
      </w:pPr>
      <w:r>
        <w:rPr>
          <w:rStyle w:val="FootnoteReference"/>
        </w:rPr>
        <w:footnoteRef/>
      </w:r>
      <w:r>
        <w:t xml:space="preserve"> </w:t>
      </w:r>
      <w:r>
        <w:rPr>
          <w:rStyle w:val="st"/>
        </w:rPr>
        <w:t>Conseil économique, social et environnemental régional</w:t>
      </w:r>
    </w:p>
  </w:footnote>
  <w:footnote w:id="7">
    <w:p w:rsidR="003D702D" w:rsidRDefault="003D702D" w:rsidP="00C2499B">
      <w:pPr>
        <w:pStyle w:val="FootnoteText"/>
      </w:pPr>
      <w:r>
        <w:rPr>
          <w:rStyle w:val="FootnoteReference"/>
        </w:rPr>
        <w:footnoteRef/>
      </w:r>
      <w:r>
        <w:t xml:space="preserve"> </w:t>
      </w:r>
      <w:r w:rsidRPr="00277E03">
        <w:t>www.webssa.net › gb2a_-_financement_de_projets_-_2018.05.25.pdf</w:t>
      </w:r>
    </w:p>
    <w:p w:rsidR="003D702D" w:rsidRDefault="003D702D" w:rsidP="00C2499B">
      <w:pPr>
        <w:pStyle w:val="FootnoteText"/>
      </w:pPr>
    </w:p>
    <w:p w:rsidR="003D702D" w:rsidRDefault="003D702D" w:rsidP="00C2499B">
      <w:pPr>
        <w:pStyle w:val="FootnoteText"/>
      </w:pPr>
    </w:p>
  </w:footnote>
  <w:footnote w:id="8">
    <w:p w:rsidR="003D702D" w:rsidRDefault="003D702D" w:rsidP="00C2499B">
      <w:pPr>
        <w:pStyle w:val="FootnoteText"/>
      </w:pPr>
      <w:r>
        <w:rPr>
          <w:rStyle w:val="FootnoteReference"/>
        </w:rPr>
        <w:footnoteRef/>
      </w:r>
      <w:r>
        <w:t xml:space="preserve"> </w:t>
      </w:r>
      <w:r w:rsidRPr="00685B7B">
        <w:t xml:space="preserve">ttps://www.ccomptes.fr/sites/default/files/2018-01/20170117-rapport-societe-grand-Paris_1.pdf  </w:t>
      </w:r>
    </w:p>
  </w:footnote>
  <w:footnote w:id="9">
    <w:p w:rsidR="003D702D" w:rsidRDefault="003D702D" w:rsidP="00C2499B">
      <w:pPr>
        <w:pStyle w:val="FootnoteText"/>
      </w:pPr>
      <w:r>
        <w:rPr>
          <w:rStyle w:val="FootnoteReference"/>
        </w:rPr>
        <w:footnoteRef/>
      </w:r>
      <w:r>
        <w:t xml:space="preserve"> </w:t>
      </w:r>
      <w:r w:rsidRPr="00685B7B">
        <w:t xml:space="preserve">https://www.ecologique-solidaire.gouv.fr/sites/default/files/2018.09.07_ressources_de_la_societe_du_grand_paris.pdf  </w:t>
      </w:r>
    </w:p>
  </w:footnote>
  <w:footnote w:id="10">
    <w:p w:rsidR="003D702D" w:rsidRDefault="003D702D" w:rsidP="00C2499B">
      <w:pPr>
        <w:pStyle w:val="FootnoteText"/>
      </w:pPr>
      <w:r>
        <w:rPr>
          <w:rStyle w:val="FootnoteReference"/>
        </w:rPr>
        <w:footnoteRef/>
      </w:r>
      <w:r>
        <w:t xml:space="preserve"> </w:t>
      </w:r>
      <w:hyperlink r:id="rId3" w:history="1">
        <w:r w:rsidRPr="00C656A3">
          <w:rPr>
            <w:rStyle w:val="Hyperlink"/>
          </w:rPr>
          <w:t>https://toulouse.latribune.fr/politique/territoires/2019-06-19/quelles-recettes-fiscales-pour-financer-la-lgv-toulouse-bordeaux-820927.html</w:t>
        </w:r>
      </w:hyperlink>
    </w:p>
    <w:p w:rsidR="003D702D" w:rsidRDefault="003D702D" w:rsidP="00C2499B">
      <w:pPr>
        <w:pStyle w:val="FootnoteText"/>
      </w:pPr>
    </w:p>
  </w:footnote>
  <w:footnote w:id="11">
    <w:p w:rsidR="003D702D" w:rsidRDefault="003D702D" w:rsidP="00C2499B">
      <w:pPr>
        <w:pStyle w:val="FootnoteText"/>
      </w:pPr>
      <w:r>
        <w:rPr>
          <w:rStyle w:val="FootnoteReference"/>
        </w:rPr>
        <w:footnoteRef/>
      </w:r>
      <w:r>
        <w:t xml:space="preserve"> </w:t>
      </w:r>
      <w:r w:rsidRPr="00323E10">
        <w:t>Taxe Intérieure de Consommation sur les Produits Energétiques</w:t>
      </w:r>
    </w:p>
  </w:footnote>
  <w:footnote w:id="12">
    <w:p w:rsidR="003D702D" w:rsidRDefault="003D702D" w:rsidP="00C2499B">
      <w:pPr>
        <w:pStyle w:val="FootnoteText"/>
      </w:pPr>
      <w:r>
        <w:rPr>
          <w:rStyle w:val="FootnoteReference"/>
        </w:rPr>
        <w:footnoteRef/>
      </w:r>
      <w:r>
        <w:t xml:space="preserve"> </w:t>
      </w:r>
      <w:hyperlink r:id="rId4" w:history="1">
        <w:r w:rsidRPr="00C656A3">
          <w:rPr>
            <w:rStyle w:val="Hyperlink"/>
          </w:rPr>
          <w:t>https://toulouse.latribune.fr/politique/2019-10-04/lgv-toulouse-bordeaux-un-deal-sur-le-financement-attendu-pour-fin-2019-829874.html</w:t>
        </w:r>
      </w:hyperlink>
    </w:p>
    <w:p w:rsidR="003D702D" w:rsidRDefault="003D702D" w:rsidP="00C2499B">
      <w:pPr>
        <w:pStyle w:val="FootnoteText"/>
      </w:pPr>
    </w:p>
  </w:footnote>
  <w:footnote w:id="13">
    <w:p w:rsidR="003D702D" w:rsidRDefault="003D702D" w:rsidP="00C2499B">
      <w:pPr>
        <w:pStyle w:val="FootnoteText"/>
      </w:pPr>
      <w:r>
        <w:rPr>
          <w:rStyle w:val="FootnoteReference"/>
        </w:rPr>
        <w:footnoteRef/>
      </w:r>
      <w:r>
        <w:t xml:space="preserve"> </w:t>
      </w:r>
      <w:hyperlink r:id="rId5" w:history="1">
        <w:r w:rsidRPr="00C656A3">
          <w:rPr>
            <w:rStyle w:val="Hyperlink"/>
          </w:rPr>
          <w:t>http://www.touleco.fr/LGV-Bordeaux-Toulouse-Les-entreprises-ne-veulent-pas-etre-taxees,28021</w:t>
        </w:r>
      </w:hyperlink>
    </w:p>
    <w:p w:rsidR="003D702D" w:rsidRDefault="003D702D" w:rsidP="00C2499B">
      <w:pPr>
        <w:pStyle w:val="FootnoteText"/>
      </w:pPr>
    </w:p>
  </w:footnote>
  <w:footnote w:id="14">
    <w:p w:rsidR="003D702D" w:rsidRDefault="003D702D" w:rsidP="00C2499B">
      <w:pPr>
        <w:pStyle w:val="FootnoteText"/>
      </w:pPr>
      <w:r>
        <w:rPr>
          <w:rStyle w:val="FootnoteReference"/>
        </w:rPr>
        <w:footnoteRef/>
      </w:r>
      <w:r>
        <w:t xml:space="preserve"> </w:t>
      </w:r>
      <w:hyperlink r:id="rId6" w:history="1">
        <w:r w:rsidRPr="00C656A3">
          <w:rPr>
            <w:rStyle w:val="Hyperlink"/>
          </w:rPr>
          <w:t>https://www.touleco.fr/LGV-Toulouse-Bordeaux-faire-reposer-le-financement-sur-la,28091</w:t>
        </w:r>
      </w:hyperlink>
    </w:p>
    <w:p w:rsidR="003D702D" w:rsidRDefault="003D702D" w:rsidP="00C2499B">
      <w:pPr>
        <w:pStyle w:val="FootnoteText"/>
      </w:pPr>
    </w:p>
  </w:footnote>
  <w:footnote w:id="15">
    <w:p w:rsidR="003D702D" w:rsidRDefault="003D702D" w:rsidP="00C2499B">
      <w:pPr>
        <w:pStyle w:val="FootnoteText"/>
      </w:pPr>
      <w:r>
        <w:rPr>
          <w:rStyle w:val="FootnoteReference"/>
        </w:rPr>
        <w:footnoteRef/>
      </w:r>
      <w:r>
        <w:t xml:space="preserve"> </w:t>
      </w:r>
      <w:r w:rsidRPr="00CB3362">
        <w:t>https://www.usinenouvelle.com/editorial/tgv-qui-arretera-de-nourrir-le-moloch-ferroviaire.N558073</w:t>
      </w:r>
    </w:p>
  </w:footnote>
  <w:footnote w:id="16">
    <w:p w:rsidR="003D702D" w:rsidRDefault="003D702D" w:rsidP="00B100E0">
      <w:pPr>
        <w:autoSpaceDE w:val="0"/>
        <w:autoSpaceDN w:val="0"/>
        <w:adjustRightInd w:val="0"/>
        <w:spacing w:after="0"/>
      </w:pPr>
      <w:r w:rsidRPr="003A1930">
        <w:rPr>
          <w:rStyle w:val="FootnoteReference"/>
          <w:sz w:val="20"/>
          <w:szCs w:val="20"/>
        </w:rPr>
        <w:footnoteRef/>
      </w:r>
      <w:r w:rsidRPr="003A1930">
        <w:rPr>
          <w:sz w:val="20"/>
          <w:szCs w:val="20"/>
        </w:rPr>
        <w:t xml:space="preserve"> </w:t>
      </w:r>
      <w:r w:rsidRPr="003A1930">
        <w:rPr>
          <w:rFonts w:cs="Ubuntu-Bold"/>
          <w:bCs/>
          <w:sz w:val="20"/>
          <w:szCs w:val="20"/>
        </w:rPr>
        <w:t>Le montage et le financement de projets : méthodologie et outils d’analyse »</w:t>
      </w:r>
      <w:r>
        <w:rPr>
          <w:rFonts w:cs="Ubuntu-Bold"/>
          <w:bCs/>
          <w:sz w:val="20"/>
          <w:szCs w:val="20"/>
        </w:rPr>
        <w:t xml:space="preserve"> séminaire GB2A avocats 28 mais 2018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038D1"/>
    <w:multiLevelType w:val="hybridMultilevel"/>
    <w:tmpl w:val="A4BC293A"/>
    <w:lvl w:ilvl="0" w:tplc="05F0467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E12422"/>
    <w:multiLevelType w:val="multilevel"/>
    <w:tmpl w:val="AF4A3B52"/>
    <w:lvl w:ilvl="0">
      <w:start w:val="1"/>
      <w:numFmt w:val="decimal"/>
      <w:lvlText w:val="%1."/>
      <w:lvlJc w:val="left"/>
      <w:pPr>
        <w:ind w:left="720" w:hanging="360"/>
      </w:pPr>
      <w:rPr>
        <w:rFonts w:cs="Times New Roman" w:hint="default"/>
        <w:b/>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42527E4B"/>
    <w:multiLevelType w:val="multilevel"/>
    <w:tmpl w:val="D9EAA068"/>
    <w:lvl w:ilvl="0">
      <w:start w:val="1"/>
      <w:numFmt w:val="decimal"/>
      <w:pStyle w:val="Heading1"/>
      <w:lvlText w:val="%1."/>
      <w:lvlJc w:val="left"/>
      <w:pPr>
        <w:ind w:left="454" w:hanging="454"/>
      </w:pPr>
      <w:rPr>
        <w:rFonts w:ascii="Corbel" w:hAnsi="Corbel" w:cs="Times New Roman" w:hint="default"/>
        <w:b/>
        <w:i w:val="0"/>
        <w:sz w:val="32"/>
      </w:rPr>
    </w:lvl>
    <w:lvl w:ilvl="1">
      <w:start w:val="1"/>
      <w:numFmt w:val="decimal"/>
      <w:pStyle w:val="Heading2"/>
      <w:lvlText w:val="%1.%2"/>
      <w:lvlJc w:val="left"/>
      <w:pPr>
        <w:ind w:left="792" w:hanging="432"/>
      </w:pPr>
      <w:rPr>
        <w:rFonts w:ascii="Corbel" w:hAnsi="Corbel" w:cs="Times New Roman" w:hint="default"/>
        <w:b/>
        <w:i w:val="0"/>
        <w:sz w:val="28"/>
      </w:rPr>
    </w:lvl>
    <w:lvl w:ilvl="2">
      <w:start w:val="1"/>
      <w:numFmt w:val="decimal"/>
      <w:pStyle w:val="Heading3"/>
      <w:lvlText w:val="%1.%2.%3."/>
      <w:lvlJc w:val="left"/>
      <w:pPr>
        <w:ind w:left="1224" w:hanging="504"/>
      </w:pPr>
      <w:rPr>
        <w:rFonts w:ascii="Corbel" w:hAnsi="Corbel" w:cs="Times New Roman" w:hint="default"/>
        <w:sz w:val="24"/>
      </w:rPr>
    </w:lvl>
    <w:lvl w:ilvl="3">
      <w:start w:val="1"/>
      <w:numFmt w:val="decimal"/>
      <w:pStyle w:val="Heading4"/>
      <w:lvlText w:val="%1.%2.%3.%4"/>
      <w:lvlJc w:val="left"/>
      <w:pPr>
        <w:ind w:left="2633" w:hanging="648"/>
      </w:pPr>
      <w:rPr>
        <w:rFonts w:ascii="Corbel" w:hAnsi="Corbel" w:cs="Times New Roman" w:hint="default"/>
        <w:sz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3786"/>
    <w:rsid w:val="0000295C"/>
    <w:rsid w:val="000040C6"/>
    <w:rsid w:val="00005259"/>
    <w:rsid w:val="00005C3E"/>
    <w:rsid w:val="000108F4"/>
    <w:rsid w:val="000143C9"/>
    <w:rsid w:val="00015092"/>
    <w:rsid w:val="000154E1"/>
    <w:rsid w:val="00016194"/>
    <w:rsid w:val="000174DB"/>
    <w:rsid w:val="000175EA"/>
    <w:rsid w:val="00020D03"/>
    <w:rsid w:val="0002116F"/>
    <w:rsid w:val="00021C94"/>
    <w:rsid w:val="00026766"/>
    <w:rsid w:val="00026C3C"/>
    <w:rsid w:val="00030943"/>
    <w:rsid w:val="000354B3"/>
    <w:rsid w:val="00037FA8"/>
    <w:rsid w:val="000429BA"/>
    <w:rsid w:val="00043656"/>
    <w:rsid w:val="00044A2A"/>
    <w:rsid w:val="00044DB5"/>
    <w:rsid w:val="00045F47"/>
    <w:rsid w:val="00046D75"/>
    <w:rsid w:val="00051261"/>
    <w:rsid w:val="00053428"/>
    <w:rsid w:val="000541D2"/>
    <w:rsid w:val="00054352"/>
    <w:rsid w:val="0005436B"/>
    <w:rsid w:val="00067276"/>
    <w:rsid w:val="00072634"/>
    <w:rsid w:val="00073C92"/>
    <w:rsid w:val="00076DB5"/>
    <w:rsid w:val="00077EF3"/>
    <w:rsid w:val="00080FC1"/>
    <w:rsid w:val="00081829"/>
    <w:rsid w:val="00082AE8"/>
    <w:rsid w:val="00083673"/>
    <w:rsid w:val="00084854"/>
    <w:rsid w:val="000909B4"/>
    <w:rsid w:val="00091BE5"/>
    <w:rsid w:val="0009250E"/>
    <w:rsid w:val="00092EF7"/>
    <w:rsid w:val="000A1545"/>
    <w:rsid w:val="000A25CC"/>
    <w:rsid w:val="000A78FA"/>
    <w:rsid w:val="000A7C7F"/>
    <w:rsid w:val="000B023E"/>
    <w:rsid w:val="000B0707"/>
    <w:rsid w:val="000B1687"/>
    <w:rsid w:val="000B18E7"/>
    <w:rsid w:val="000B49D7"/>
    <w:rsid w:val="000C13DF"/>
    <w:rsid w:val="000C4A46"/>
    <w:rsid w:val="000D154D"/>
    <w:rsid w:val="000D3F4D"/>
    <w:rsid w:val="000D54BF"/>
    <w:rsid w:val="000D64F5"/>
    <w:rsid w:val="000E1D5A"/>
    <w:rsid w:val="000E2933"/>
    <w:rsid w:val="000E36E5"/>
    <w:rsid w:val="000E6ACA"/>
    <w:rsid w:val="00102C67"/>
    <w:rsid w:val="001042E6"/>
    <w:rsid w:val="00105A0F"/>
    <w:rsid w:val="00105E4F"/>
    <w:rsid w:val="0011307C"/>
    <w:rsid w:val="001202E7"/>
    <w:rsid w:val="00121D56"/>
    <w:rsid w:val="001242CD"/>
    <w:rsid w:val="00125062"/>
    <w:rsid w:val="0012601D"/>
    <w:rsid w:val="00126A77"/>
    <w:rsid w:val="00126CCD"/>
    <w:rsid w:val="001279B8"/>
    <w:rsid w:val="00131995"/>
    <w:rsid w:val="001334C7"/>
    <w:rsid w:val="001335AE"/>
    <w:rsid w:val="00134452"/>
    <w:rsid w:val="00134CD4"/>
    <w:rsid w:val="00137DE2"/>
    <w:rsid w:val="001408D2"/>
    <w:rsid w:val="00140A99"/>
    <w:rsid w:val="00144612"/>
    <w:rsid w:val="00145287"/>
    <w:rsid w:val="0014567D"/>
    <w:rsid w:val="00146814"/>
    <w:rsid w:val="00147D0E"/>
    <w:rsid w:val="0015071F"/>
    <w:rsid w:val="0015233A"/>
    <w:rsid w:val="0015459D"/>
    <w:rsid w:val="00154BA6"/>
    <w:rsid w:val="001629C1"/>
    <w:rsid w:val="001630BC"/>
    <w:rsid w:val="00165E04"/>
    <w:rsid w:val="001716DF"/>
    <w:rsid w:val="001719A6"/>
    <w:rsid w:val="0017637B"/>
    <w:rsid w:val="0018154D"/>
    <w:rsid w:val="00183780"/>
    <w:rsid w:val="00183C45"/>
    <w:rsid w:val="001975D7"/>
    <w:rsid w:val="001A1249"/>
    <w:rsid w:val="001A288A"/>
    <w:rsid w:val="001A2934"/>
    <w:rsid w:val="001A3B24"/>
    <w:rsid w:val="001A3BFF"/>
    <w:rsid w:val="001A3FEF"/>
    <w:rsid w:val="001A4487"/>
    <w:rsid w:val="001A50EA"/>
    <w:rsid w:val="001A6BE0"/>
    <w:rsid w:val="001B0C69"/>
    <w:rsid w:val="001B4667"/>
    <w:rsid w:val="001C2DDC"/>
    <w:rsid w:val="001C35E9"/>
    <w:rsid w:val="001D10AD"/>
    <w:rsid w:val="001D2955"/>
    <w:rsid w:val="001E0DA6"/>
    <w:rsid w:val="001E533B"/>
    <w:rsid w:val="001E5440"/>
    <w:rsid w:val="001E5D6C"/>
    <w:rsid w:val="001E7CBC"/>
    <w:rsid w:val="001F079C"/>
    <w:rsid w:val="001F2192"/>
    <w:rsid w:val="001F2C65"/>
    <w:rsid w:val="001F42A8"/>
    <w:rsid w:val="001F63F1"/>
    <w:rsid w:val="00201640"/>
    <w:rsid w:val="00201930"/>
    <w:rsid w:val="002029AD"/>
    <w:rsid w:val="00203786"/>
    <w:rsid w:val="0020640A"/>
    <w:rsid w:val="00210F72"/>
    <w:rsid w:val="00216664"/>
    <w:rsid w:val="00217132"/>
    <w:rsid w:val="00217B8B"/>
    <w:rsid w:val="00224071"/>
    <w:rsid w:val="00231E27"/>
    <w:rsid w:val="00235A85"/>
    <w:rsid w:val="0023749D"/>
    <w:rsid w:val="00241348"/>
    <w:rsid w:val="002413A1"/>
    <w:rsid w:val="00241849"/>
    <w:rsid w:val="00252621"/>
    <w:rsid w:val="0025387B"/>
    <w:rsid w:val="00260B4F"/>
    <w:rsid w:val="00263D71"/>
    <w:rsid w:val="002648C1"/>
    <w:rsid w:val="00275535"/>
    <w:rsid w:val="002755D8"/>
    <w:rsid w:val="00277E03"/>
    <w:rsid w:val="00277E54"/>
    <w:rsid w:val="00283B9F"/>
    <w:rsid w:val="0028669A"/>
    <w:rsid w:val="00287531"/>
    <w:rsid w:val="00294197"/>
    <w:rsid w:val="00294A4A"/>
    <w:rsid w:val="002959A8"/>
    <w:rsid w:val="002966FD"/>
    <w:rsid w:val="002A0ADF"/>
    <w:rsid w:val="002A1682"/>
    <w:rsid w:val="002A2245"/>
    <w:rsid w:val="002A34EB"/>
    <w:rsid w:val="002B133A"/>
    <w:rsid w:val="002B249D"/>
    <w:rsid w:val="002C68C4"/>
    <w:rsid w:val="002C7043"/>
    <w:rsid w:val="002C7728"/>
    <w:rsid w:val="002D0053"/>
    <w:rsid w:val="002D08F9"/>
    <w:rsid w:val="002D14DC"/>
    <w:rsid w:val="002D1F6D"/>
    <w:rsid w:val="002D201D"/>
    <w:rsid w:val="002D2F0F"/>
    <w:rsid w:val="002D5E15"/>
    <w:rsid w:val="002E007B"/>
    <w:rsid w:val="002E0F2B"/>
    <w:rsid w:val="002E50C7"/>
    <w:rsid w:val="002F1812"/>
    <w:rsid w:val="00300D24"/>
    <w:rsid w:val="0030135E"/>
    <w:rsid w:val="00302FAE"/>
    <w:rsid w:val="003052D2"/>
    <w:rsid w:val="00305CEF"/>
    <w:rsid w:val="00306BDA"/>
    <w:rsid w:val="00306E4D"/>
    <w:rsid w:val="003109A6"/>
    <w:rsid w:val="003163E9"/>
    <w:rsid w:val="0031775C"/>
    <w:rsid w:val="00320EEB"/>
    <w:rsid w:val="00323218"/>
    <w:rsid w:val="00323E10"/>
    <w:rsid w:val="003252E4"/>
    <w:rsid w:val="0032541C"/>
    <w:rsid w:val="00325BFE"/>
    <w:rsid w:val="00331F35"/>
    <w:rsid w:val="003334B2"/>
    <w:rsid w:val="00333D1F"/>
    <w:rsid w:val="00335DEC"/>
    <w:rsid w:val="003428F0"/>
    <w:rsid w:val="00350927"/>
    <w:rsid w:val="003532B5"/>
    <w:rsid w:val="00353C2F"/>
    <w:rsid w:val="00354F57"/>
    <w:rsid w:val="003577E4"/>
    <w:rsid w:val="003621C3"/>
    <w:rsid w:val="0036593E"/>
    <w:rsid w:val="00366837"/>
    <w:rsid w:val="003669C7"/>
    <w:rsid w:val="003673E5"/>
    <w:rsid w:val="0036745D"/>
    <w:rsid w:val="0037546F"/>
    <w:rsid w:val="00375836"/>
    <w:rsid w:val="003772F3"/>
    <w:rsid w:val="003800FE"/>
    <w:rsid w:val="003806BB"/>
    <w:rsid w:val="00382630"/>
    <w:rsid w:val="0038376E"/>
    <w:rsid w:val="00385179"/>
    <w:rsid w:val="00386D1A"/>
    <w:rsid w:val="003A1930"/>
    <w:rsid w:val="003A23AB"/>
    <w:rsid w:val="003A25D1"/>
    <w:rsid w:val="003A3225"/>
    <w:rsid w:val="003A5A03"/>
    <w:rsid w:val="003A627C"/>
    <w:rsid w:val="003A62F5"/>
    <w:rsid w:val="003A67DF"/>
    <w:rsid w:val="003B0CB9"/>
    <w:rsid w:val="003B1857"/>
    <w:rsid w:val="003B1EBA"/>
    <w:rsid w:val="003B3B35"/>
    <w:rsid w:val="003B588D"/>
    <w:rsid w:val="003C1D12"/>
    <w:rsid w:val="003D0C42"/>
    <w:rsid w:val="003D2E5C"/>
    <w:rsid w:val="003D4660"/>
    <w:rsid w:val="003D46E2"/>
    <w:rsid w:val="003D4AE7"/>
    <w:rsid w:val="003D505F"/>
    <w:rsid w:val="003D68A6"/>
    <w:rsid w:val="003D6EA9"/>
    <w:rsid w:val="003D702D"/>
    <w:rsid w:val="003D753E"/>
    <w:rsid w:val="003E2ABA"/>
    <w:rsid w:val="003E2F44"/>
    <w:rsid w:val="003F66F6"/>
    <w:rsid w:val="0040330F"/>
    <w:rsid w:val="00405F07"/>
    <w:rsid w:val="004131E1"/>
    <w:rsid w:val="00415108"/>
    <w:rsid w:val="004173A0"/>
    <w:rsid w:val="00417902"/>
    <w:rsid w:val="00424AD9"/>
    <w:rsid w:val="00425003"/>
    <w:rsid w:val="00431D47"/>
    <w:rsid w:val="004347B5"/>
    <w:rsid w:val="00437896"/>
    <w:rsid w:val="00442CAD"/>
    <w:rsid w:val="004432E8"/>
    <w:rsid w:val="00443953"/>
    <w:rsid w:val="00447BF1"/>
    <w:rsid w:val="00453544"/>
    <w:rsid w:val="00454F03"/>
    <w:rsid w:val="0047197C"/>
    <w:rsid w:val="00475E6A"/>
    <w:rsid w:val="00475FBE"/>
    <w:rsid w:val="004767AC"/>
    <w:rsid w:val="00485DB6"/>
    <w:rsid w:val="00487CD1"/>
    <w:rsid w:val="00493834"/>
    <w:rsid w:val="004957B2"/>
    <w:rsid w:val="0049613A"/>
    <w:rsid w:val="0049684A"/>
    <w:rsid w:val="004A114A"/>
    <w:rsid w:val="004A1985"/>
    <w:rsid w:val="004A1A01"/>
    <w:rsid w:val="004A2271"/>
    <w:rsid w:val="004A504B"/>
    <w:rsid w:val="004A534A"/>
    <w:rsid w:val="004A5AF4"/>
    <w:rsid w:val="004A6ACB"/>
    <w:rsid w:val="004A7963"/>
    <w:rsid w:val="004B15ED"/>
    <w:rsid w:val="004B3C5E"/>
    <w:rsid w:val="004B4EA8"/>
    <w:rsid w:val="004B7DB6"/>
    <w:rsid w:val="004C0FD9"/>
    <w:rsid w:val="004C31E7"/>
    <w:rsid w:val="004C54D7"/>
    <w:rsid w:val="004D7D96"/>
    <w:rsid w:val="004E355C"/>
    <w:rsid w:val="004E5057"/>
    <w:rsid w:val="004E5A9C"/>
    <w:rsid w:val="0050112F"/>
    <w:rsid w:val="005013DF"/>
    <w:rsid w:val="005043DC"/>
    <w:rsid w:val="0051271F"/>
    <w:rsid w:val="00514B2A"/>
    <w:rsid w:val="00516C8B"/>
    <w:rsid w:val="0051746E"/>
    <w:rsid w:val="0052288B"/>
    <w:rsid w:val="005255CF"/>
    <w:rsid w:val="005410B0"/>
    <w:rsid w:val="00542151"/>
    <w:rsid w:val="00542AE5"/>
    <w:rsid w:val="00543087"/>
    <w:rsid w:val="0055021A"/>
    <w:rsid w:val="00552D55"/>
    <w:rsid w:val="00552E62"/>
    <w:rsid w:val="005545A4"/>
    <w:rsid w:val="00562D51"/>
    <w:rsid w:val="00563F22"/>
    <w:rsid w:val="005704AD"/>
    <w:rsid w:val="005741C7"/>
    <w:rsid w:val="005751E2"/>
    <w:rsid w:val="005813FF"/>
    <w:rsid w:val="005814E3"/>
    <w:rsid w:val="00583C0A"/>
    <w:rsid w:val="00585423"/>
    <w:rsid w:val="00585BA9"/>
    <w:rsid w:val="00586AD9"/>
    <w:rsid w:val="005937DF"/>
    <w:rsid w:val="005945D0"/>
    <w:rsid w:val="00597E9D"/>
    <w:rsid w:val="005A1C1E"/>
    <w:rsid w:val="005A49EE"/>
    <w:rsid w:val="005A69DF"/>
    <w:rsid w:val="005A7955"/>
    <w:rsid w:val="005B0404"/>
    <w:rsid w:val="005B14DC"/>
    <w:rsid w:val="005B2C3B"/>
    <w:rsid w:val="005B2F07"/>
    <w:rsid w:val="005B6654"/>
    <w:rsid w:val="005B721A"/>
    <w:rsid w:val="005C36AC"/>
    <w:rsid w:val="005C377A"/>
    <w:rsid w:val="005C4322"/>
    <w:rsid w:val="005D130C"/>
    <w:rsid w:val="005D2A0C"/>
    <w:rsid w:val="005D2EB1"/>
    <w:rsid w:val="005D328F"/>
    <w:rsid w:val="005D7E94"/>
    <w:rsid w:val="005E3C9B"/>
    <w:rsid w:val="005E4B28"/>
    <w:rsid w:val="005F3836"/>
    <w:rsid w:val="005F4992"/>
    <w:rsid w:val="00606345"/>
    <w:rsid w:val="00612731"/>
    <w:rsid w:val="00613618"/>
    <w:rsid w:val="00616ED8"/>
    <w:rsid w:val="00617D6F"/>
    <w:rsid w:val="00624149"/>
    <w:rsid w:val="00627969"/>
    <w:rsid w:val="00634225"/>
    <w:rsid w:val="0063561F"/>
    <w:rsid w:val="00636013"/>
    <w:rsid w:val="00640A13"/>
    <w:rsid w:val="0064113C"/>
    <w:rsid w:val="00644E96"/>
    <w:rsid w:val="00647564"/>
    <w:rsid w:val="00660E86"/>
    <w:rsid w:val="00664945"/>
    <w:rsid w:val="006724D0"/>
    <w:rsid w:val="00674610"/>
    <w:rsid w:val="00677ED8"/>
    <w:rsid w:val="00682DD6"/>
    <w:rsid w:val="00683A63"/>
    <w:rsid w:val="00683FB3"/>
    <w:rsid w:val="00685B7B"/>
    <w:rsid w:val="00686410"/>
    <w:rsid w:val="00690F9B"/>
    <w:rsid w:val="006911AF"/>
    <w:rsid w:val="006919B7"/>
    <w:rsid w:val="006937B0"/>
    <w:rsid w:val="0069380A"/>
    <w:rsid w:val="0069399B"/>
    <w:rsid w:val="006960E7"/>
    <w:rsid w:val="00696901"/>
    <w:rsid w:val="006A0886"/>
    <w:rsid w:val="006A110F"/>
    <w:rsid w:val="006A354F"/>
    <w:rsid w:val="006B10DB"/>
    <w:rsid w:val="006B514A"/>
    <w:rsid w:val="006B613F"/>
    <w:rsid w:val="006C0A6E"/>
    <w:rsid w:val="006C3D07"/>
    <w:rsid w:val="006C6261"/>
    <w:rsid w:val="006C6B6E"/>
    <w:rsid w:val="006D159D"/>
    <w:rsid w:val="006D2A08"/>
    <w:rsid w:val="006D54DC"/>
    <w:rsid w:val="006D5F83"/>
    <w:rsid w:val="006D7842"/>
    <w:rsid w:val="006E06CA"/>
    <w:rsid w:val="006E1ED2"/>
    <w:rsid w:val="006E39A9"/>
    <w:rsid w:val="006F1AE4"/>
    <w:rsid w:val="006F1E71"/>
    <w:rsid w:val="006F2963"/>
    <w:rsid w:val="006F4C4B"/>
    <w:rsid w:val="006F4C50"/>
    <w:rsid w:val="00700F42"/>
    <w:rsid w:val="007043B4"/>
    <w:rsid w:val="0071144A"/>
    <w:rsid w:val="00716489"/>
    <w:rsid w:val="00727DCD"/>
    <w:rsid w:val="00730C05"/>
    <w:rsid w:val="00731812"/>
    <w:rsid w:val="00733FB7"/>
    <w:rsid w:val="00735EA3"/>
    <w:rsid w:val="0074069E"/>
    <w:rsid w:val="00741A75"/>
    <w:rsid w:val="00742E6D"/>
    <w:rsid w:val="00745CE1"/>
    <w:rsid w:val="00747377"/>
    <w:rsid w:val="00755C26"/>
    <w:rsid w:val="00766AF2"/>
    <w:rsid w:val="00770A7A"/>
    <w:rsid w:val="00773666"/>
    <w:rsid w:val="0077477F"/>
    <w:rsid w:val="00774F13"/>
    <w:rsid w:val="007760E6"/>
    <w:rsid w:val="00776517"/>
    <w:rsid w:val="00776E47"/>
    <w:rsid w:val="00777D84"/>
    <w:rsid w:val="00781EB1"/>
    <w:rsid w:val="00782827"/>
    <w:rsid w:val="007872EE"/>
    <w:rsid w:val="007878D1"/>
    <w:rsid w:val="00787EF4"/>
    <w:rsid w:val="00794847"/>
    <w:rsid w:val="007967A3"/>
    <w:rsid w:val="007A3455"/>
    <w:rsid w:val="007A373D"/>
    <w:rsid w:val="007A76F0"/>
    <w:rsid w:val="007B4C16"/>
    <w:rsid w:val="007B4CEA"/>
    <w:rsid w:val="007B7B00"/>
    <w:rsid w:val="007C0219"/>
    <w:rsid w:val="007C1142"/>
    <w:rsid w:val="007C4680"/>
    <w:rsid w:val="007D1E01"/>
    <w:rsid w:val="007D366F"/>
    <w:rsid w:val="007D5D10"/>
    <w:rsid w:val="007D73DA"/>
    <w:rsid w:val="007E2279"/>
    <w:rsid w:val="007E5A82"/>
    <w:rsid w:val="007E6767"/>
    <w:rsid w:val="007F00C6"/>
    <w:rsid w:val="007F1604"/>
    <w:rsid w:val="007F2DFD"/>
    <w:rsid w:val="007F478C"/>
    <w:rsid w:val="007F4D72"/>
    <w:rsid w:val="007F7391"/>
    <w:rsid w:val="007F7D5B"/>
    <w:rsid w:val="0080056B"/>
    <w:rsid w:val="00800E70"/>
    <w:rsid w:val="00803D9D"/>
    <w:rsid w:val="00807CCD"/>
    <w:rsid w:val="00812659"/>
    <w:rsid w:val="00812B7D"/>
    <w:rsid w:val="00815375"/>
    <w:rsid w:val="008159F3"/>
    <w:rsid w:val="008175E9"/>
    <w:rsid w:val="00817B2D"/>
    <w:rsid w:val="0082254A"/>
    <w:rsid w:val="00824FC7"/>
    <w:rsid w:val="008259FC"/>
    <w:rsid w:val="00825F7A"/>
    <w:rsid w:val="00827443"/>
    <w:rsid w:val="00830818"/>
    <w:rsid w:val="00831558"/>
    <w:rsid w:val="008324D7"/>
    <w:rsid w:val="00834391"/>
    <w:rsid w:val="0083484F"/>
    <w:rsid w:val="008363B4"/>
    <w:rsid w:val="00841111"/>
    <w:rsid w:val="00844446"/>
    <w:rsid w:val="00845A90"/>
    <w:rsid w:val="0085057D"/>
    <w:rsid w:val="00850E29"/>
    <w:rsid w:val="008523C7"/>
    <w:rsid w:val="00853C05"/>
    <w:rsid w:val="00860A01"/>
    <w:rsid w:val="00860E75"/>
    <w:rsid w:val="00867047"/>
    <w:rsid w:val="00877425"/>
    <w:rsid w:val="00880C5D"/>
    <w:rsid w:val="00881175"/>
    <w:rsid w:val="0088218C"/>
    <w:rsid w:val="008825A8"/>
    <w:rsid w:val="00884B0D"/>
    <w:rsid w:val="0088534D"/>
    <w:rsid w:val="0088632C"/>
    <w:rsid w:val="00887D9F"/>
    <w:rsid w:val="0089217A"/>
    <w:rsid w:val="00892316"/>
    <w:rsid w:val="00893282"/>
    <w:rsid w:val="008950F7"/>
    <w:rsid w:val="0089667B"/>
    <w:rsid w:val="008A25C3"/>
    <w:rsid w:val="008A2910"/>
    <w:rsid w:val="008A6831"/>
    <w:rsid w:val="008A7101"/>
    <w:rsid w:val="008A7428"/>
    <w:rsid w:val="008B6307"/>
    <w:rsid w:val="008C1144"/>
    <w:rsid w:val="008C27E3"/>
    <w:rsid w:val="008C2A6E"/>
    <w:rsid w:val="008C4855"/>
    <w:rsid w:val="008D1ADB"/>
    <w:rsid w:val="008D29FE"/>
    <w:rsid w:val="008E1449"/>
    <w:rsid w:val="008E2849"/>
    <w:rsid w:val="008E3348"/>
    <w:rsid w:val="008E6D0F"/>
    <w:rsid w:val="008F0A0B"/>
    <w:rsid w:val="008F12F1"/>
    <w:rsid w:val="008F7A05"/>
    <w:rsid w:val="008F7BCF"/>
    <w:rsid w:val="00900581"/>
    <w:rsid w:val="0090264E"/>
    <w:rsid w:val="009027C0"/>
    <w:rsid w:val="00902F3C"/>
    <w:rsid w:val="009049E1"/>
    <w:rsid w:val="00904C34"/>
    <w:rsid w:val="009057FE"/>
    <w:rsid w:val="009106FD"/>
    <w:rsid w:val="009113FE"/>
    <w:rsid w:val="00914A61"/>
    <w:rsid w:val="00915C43"/>
    <w:rsid w:val="00915F5F"/>
    <w:rsid w:val="0092013C"/>
    <w:rsid w:val="00920586"/>
    <w:rsid w:val="009227D2"/>
    <w:rsid w:val="0092539E"/>
    <w:rsid w:val="009256CF"/>
    <w:rsid w:val="0092611E"/>
    <w:rsid w:val="00927F48"/>
    <w:rsid w:val="00931470"/>
    <w:rsid w:val="0093163E"/>
    <w:rsid w:val="00933063"/>
    <w:rsid w:val="0093488F"/>
    <w:rsid w:val="00934B8A"/>
    <w:rsid w:val="009376FC"/>
    <w:rsid w:val="00943592"/>
    <w:rsid w:val="00950132"/>
    <w:rsid w:val="009525AC"/>
    <w:rsid w:val="00961EAF"/>
    <w:rsid w:val="009623A1"/>
    <w:rsid w:val="00965040"/>
    <w:rsid w:val="00972E2C"/>
    <w:rsid w:val="00973CFA"/>
    <w:rsid w:val="00977F80"/>
    <w:rsid w:val="009806A5"/>
    <w:rsid w:val="00982237"/>
    <w:rsid w:val="00991B83"/>
    <w:rsid w:val="009A4462"/>
    <w:rsid w:val="009A75D3"/>
    <w:rsid w:val="009B0903"/>
    <w:rsid w:val="009B1154"/>
    <w:rsid w:val="009B1613"/>
    <w:rsid w:val="009B2C43"/>
    <w:rsid w:val="009C3B67"/>
    <w:rsid w:val="009D124C"/>
    <w:rsid w:val="009D39B8"/>
    <w:rsid w:val="009D41AF"/>
    <w:rsid w:val="009D730F"/>
    <w:rsid w:val="009E0AD6"/>
    <w:rsid w:val="009E2AC3"/>
    <w:rsid w:val="009E4D00"/>
    <w:rsid w:val="009F1934"/>
    <w:rsid w:val="009F2658"/>
    <w:rsid w:val="009F3256"/>
    <w:rsid w:val="00A007AA"/>
    <w:rsid w:val="00A0138F"/>
    <w:rsid w:val="00A01CAE"/>
    <w:rsid w:val="00A02ED4"/>
    <w:rsid w:val="00A03783"/>
    <w:rsid w:val="00A04BA0"/>
    <w:rsid w:val="00A0614D"/>
    <w:rsid w:val="00A11414"/>
    <w:rsid w:val="00A1226F"/>
    <w:rsid w:val="00A13CFB"/>
    <w:rsid w:val="00A16A66"/>
    <w:rsid w:val="00A16ADB"/>
    <w:rsid w:val="00A25595"/>
    <w:rsid w:val="00A2571A"/>
    <w:rsid w:val="00A264C0"/>
    <w:rsid w:val="00A30B08"/>
    <w:rsid w:val="00A3457C"/>
    <w:rsid w:val="00A34753"/>
    <w:rsid w:val="00A36CC9"/>
    <w:rsid w:val="00A36E32"/>
    <w:rsid w:val="00A408E4"/>
    <w:rsid w:val="00A431EA"/>
    <w:rsid w:val="00A44261"/>
    <w:rsid w:val="00A471CA"/>
    <w:rsid w:val="00A55B46"/>
    <w:rsid w:val="00A5738F"/>
    <w:rsid w:val="00A614DE"/>
    <w:rsid w:val="00A6450F"/>
    <w:rsid w:val="00A64AC4"/>
    <w:rsid w:val="00A67724"/>
    <w:rsid w:val="00A71078"/>
    <w:rsid w:val="00A71707"/>
    <w:rsid w:val="00A7252B"/>
    <w:rsid w:val="00A7361C"/>
    <w:rsid w:val="00A73B9E"/>
    <w:rsid w:val="00A73EC3"/>
    <w:rsid w:val="00A800D1"/>
    <w:rsid w:val="00A8102E"/>
    <w:rsid w:val="00A81414"/>
    <w:rsid w:val="00A84CB7"/>
    <w:rsid w:val="00A86630"/>
    <w:rsid w:val="00A92617"/>
    <w:rsid w:val="00A9276F"/>
    <w:rsid w:val="00A9310E"/>
    <w:rsid w:val="00A93D65"/>
    <w:rsid w:val="00AA40FF"/>
    <w:rsid w:val="00AA4DF1"/>
    <w:rsid w:val="00AB1527"/>
    <w:rsid w:val="00AB17DA"/>
    <w:rsid w:val="00AB304B"/>
    <w:rsid w:val="00AB3EF7"/>
    <w:rsid w:val="00AB57FF"/>
    <w:rsid w:val="00AB7AEB"/>
    <w:rsid w:val="00AC2E00"/>
    <w:rsid w:val="00AC2FE9"/>
    <w:rsid w:val="00AC50CB"/>
    <w:rsid w:val="00AC5894"/>
    <w:rsid w:val="00AC636B"/>
    <w:rsid w:val="00AC7236"/>
    <w:rsid w:val="00AC7374"/>
    <w:rsid w:val="00AD1143"/>
    <w:rsid w:val="00AD3AB2"/>
    <w:rsid w:val="00AD6C66"/>
    <w:rsid w:val="00AD76B2"/>
    <w:rsid w:val="00AE0F50"/>
    <w:rsid w:val="00AE6597"/>
    <w:rsid w:val="00AE713D"/>
    <w:rsid w:val="00AF07EC"/>
    <w:rsid w:val="00AF4916"/>
    <w:rsid w:val="00AF5066"/>
    <w:rsid w:val="00AF60EF"/>
    <w:rsid w:val="00B00D47"/>
    <w:rsid w:val="00B0464B"/>
    <w:rsid w:val="00B04991"/>
    <w:rsid w:val="00B0599D"/>
    <w:rsid w:val="00B06EC9"/>
    <w:rsid w:val="00B100E0"/>
    <w:rsid w:val="00B11147"/>
    <w:rsid w:val="00B1206E"/>
    <w:rsid w:val="00B161F9"/>
    <w:rsid w:val="00B16FBC"/>
    <w:rsid w:val="00B17E69"/>
    <w:rsid w:val="00B207F9"/>
    <w:rsid w:val="00B21645"/>
    <w:rsid w:val="00B2359D"/>
    <w:rsid w:val="00B23CF0"/>
    <w:rsid w:val="00B278EB"/>
    <w:rsid w:val="00B31E43"/>
    <w:rsid w:val="00B32053"/>
    <w:rsid w:val="00B32F6B"/>
    <w:rsid w:val="00B33CDE"/>
    <w:rsid w:val="00B34077"/>
    <w:rsid w:val="00B40E3F"/>
    <w:rsid w:val="00B41093"/>
    <w:rsid w:val="00B43749"/>
    <w:rsid w:val="00B43CE9"/>
    <w:rsid w:val="00B446D4"/>
    <w:rsid w:val="00B44EAE"/>
    <w:rsid w:val="00B52571"/>
    <w:rsid w:val="00B61850"/>
    <w:rsid w:val="00B63C28"/>
    <w:rsid w:val="00B64B77"/>
    <w:rsid w:val="00B65C07"/>
    <w:rsid w:val="00B70B33"/>
    <w:rsid w:val="00B7207C"/>
    <w:rsid w:val="00B723C6"/>
    <w:rsid w:val="00B7509C"/>
    <w:rsid w:val="00B7604B"/>
    <w:rsid w:val="00B772F0"/>
    <w:rsid w:val="00B802FA"/>
    <w:rsid w:val="00B806B2"/>
    <w:rsid w:val="00B81622"/>
    <w:rsid w:val="00B85620"/>
    <w:rsid w:val="00B86044"/>
    <w:rsid w:val="00B87059"/>
    <w:rsid w:val="00B916BB"/>
    <w:rsid w:val="00B93CA8"/>
    <w:rsid w:val="00BA1AF8"/>
    <w:rsid w:val="00BA2343"/>
    <w:rsid w:val="00BA2729"/>
    <w:rsid w:val="00BA3B72"/>
    <w:rsid w:val="00BA4D84"/>
    <w:rsid w:val="00BA53E8"/>
    <w:rsid w:val="00BA68C4"/>
    <w:rsid w:val="00BB1034"/>
    <w:rsid w:val="00BB1703"/>
    <w:rsid w:val="00BB3AEF"/>
    <w:rsid w:val="00BB6087"/>
    <w:rsid w:val="00BB6D97"/>
    <w:rsid w:val="00BC547A"/>
    <w:rsid w:val="00BC60F5"/>
    <w:rsid w:val="00BC67C6"/>
    <w:rsid w:val="00BD2FE1"/>
    <w:rsid w:val="00BD3FC2"/>
    <w:rsid w:val="00BD40B7"/>
    <w:rsid w:val="00BD40FA"/>
    <w:rsid w:val="00BD55C0"/>
    <w:rsid w:val="00BE3220"/>
    <w:rsid w:val="00BE3E65"/>
    <w:rsid w:val="00BE5207"/>
    <w:rsid w:val="00BF2D1C"/>
    <w:rsid w:val="00BF2E8E"/>
    <w:rsid w:val="00BF389C"/>
    <w:rsid w:val="00BF568D"/>
    <w:rsid w:val="00BF69C0"/>
    <w:rsid w:val="00BF6B81"/>
    <w:rsid w:val="00C0119E"/>
    <w:rsid w:val="00C011E5"/>
    <w:rsid w:val="00C014D2"/>
    <w:rsid w:val="00C037A8"/>
    <w:rsid w:val="00C06E25"/>
    <w:rsid w:val="00C07C01"/>
    <w:rsid w:val="00C113D4"/>
    <w:rsid w:val="00C12480"/>
    <w:rsid w:val="00C169EB"/>
    <w:rsid w:val="00C225C0"/>
    <w:rsid w:val="00C2267F"/>
    <w:rsid w:val="00C24070"/>
    <w:rsid w:val="00C2499B"/>
    <w:rsid w:val="00C26507"/>
    <w:rsid w:val="00C26682"/>
    <w:rsid w:val="00C278F0"/>
    <w:rsid w:val="00C3065C"/>
    <w:rsid w:val="00C3259E"/>
    <w:rsid w:val="00C35CC9"/>
    <w:rsid w:val="00C37C5F"/>
    <w:rsid w:val="00C42131"/>
    <w:rsid w:val="00C43814"/>
    <w:rsid w:val="00C44D4D"/>
    <w:rsid w:val="00C50443"/>
    <w:rsid w:val="00C603A5"/>
    <w:rsid w:val="00C6225D"/>
    <w:rsid w:val="00C63AD4"/>
    <w:rsid w:val="00C65285"/>
    <w:rsid w:val="00C656A3"/>
    <w:rsid w:val="00C672C1"/>
    <w:rsid w:val="00C71C16"/>
    <w:rsid w:val="00C724E4"/>
    <w:rsid w:val="00C76DC1"/>
    <w:rsid w:val="00C80C59"/>
    <w:rsid w:val="00C810A2"/>
    <w:rsid w:val="00C81879"/>
    <w:rsid w:val="00C85475"/>
    <w:rsid w:val="00C8757E"/>
    <w:rsid w:val="00C91191"/>
    <w:rsid w:val="00C933A9"/>
    <w:rsid w:val="00C93FAE"/>
    <w:rsid w:val="00C94880"/>
    <w:rsid w:val="00C9675C"/>
    <w:rsid w:val="00C97695"/>
    <w:rsid w:val="00CA68B2"/>
    <w:rsid w:val="00CB0602"/>
    <w:rsid w:val="00CB0A2D"/>
    <w:rsid w:val="00CB2993"/>
    <w:rsid w:val="00CB3347"/>
    <w:rsid w:val="00CB3362"/>
    <w:rsid w:val="00CB640C"/>
    <w:rsid w:val="00CC46A6"/>
    <w:rsid w:val="00CC546E"/>
    <w:rsid w:val="00CD0BD7"/>
    <w:rsid w:val="00CD1E83"/>
    <w:rsid w:val="00CD22B9"/>
    <w:rsid w:val="00CD3D04"/>
    <w:rsid w:val="00CD6E17"/>
    <w:rsid w:val="00CD7968"/>
    <w:rsid w:val="00CE2FD2"/>
    <w:rsid w:val="00CE5603"/>
    <w:rsid w:val="00CF0109"/>
    <w:rsid w:val="00CF02C4"/>
    <w:rsid w:val="00CF331B"/>
    <w:rsid w:val="00CF3E7E"/>
    <w:rsid w:val="00CF5971"/>
    <w:rsid w:val="00CF64A2"/>
    <w:rsid w:val="00D027BA"/>
    <w:rsid w:val="00D02A0C"/>
    <w:rsid w:val="00D07800"/>
    <w:rsid w:val="00D143DC"/>
    <w:rsid w:val="00D15A57"/>
    <w:rsid w:val="00D2025F"/>
    <w:rsid w:val="00D24C92"/>
    <w:rsid w:val="00D3140D"/>
    <w:rsid w:val="00D36B5E"/>
    <w:rsid w:val="00D40FAB"/>
    <w:rsid w:val="00D42D3C"/>
    <w:rsid w:val="00D4366B"/>
    <w:rsid w:val="00D450A1"/>
    <w:rsid w:val="00D45290"/>
    <w:rsid w:val="00D457EF"/>
    <w:rsid w:val="00D45827"/>
    <w:rsid w:val="00D458F3"/>
    <w:rsid w:val="00D45B35"/>
    <w:rsid w:val="00D45DD1"/>
    <w:rsid w:val="00D465C9"/>
    <w:rsid w:val="00D51D70"/>
    <w:rsid w:val="00D57221"/>
    <w:rsid w:val="00D626F7"/>
    <w:rsid w:val="00D63B72"/>
    <w:rsid w:val="00D63D9D"/>
    <w:rsid w:val="00D6417A"/>
    <w:rsid w:val="00D64DBC"/>
    <w:rsid w:val="00D653C6"/>
    <w:rsid w:val="00D65AA8"/>
    <w:rsid w:val="00D65BEF"/>
    <w:rsid w:val="00D71945"/>
    <w:rsid w:val="00D72483"/>
    <w:rsid w:val="00D73EA6"/>
    <w:rsid w:val="00D74240"/>
    <w:rsid w:val="00D771EF"/>
    <w:rsid w:val="00D77989"/>
    <w:rsid w:val="00D83188"/>
    <w:rsid w:val="00D84B9E"/>
    <w:rsid w:val="00D87FDC"/>
    <w:rsid w:val="00DA0ACA"/>
    <w:rsid w:val="00DA1428"/>
    <w:rsid w:val="00DA23AB"/>
    <w:rsid w:val="00DA2AD0"/>
    <w:rsid w:val="00DB0684"/>
    <w:rsid w:val="00DB1B22"/>
    <w:rsid w:val="00DB6AC4"/>
    <w:rsid w:val="00DC0400"/>
    <w:rsid w:val="00DC2177"/>
    <w:rsid w:val="00DC2F5C"/>
    <w:rsid w:val="00DC36A6"/>
    <w:rsid w:val="00DC3DE2"/>
    <w:rsid w:val="00DC428D"/>
    <w:rsid w:val="00DC556C"/>
    <w:rsid w:val="00DD1109"/>
    <w:rsid w:val="00DD26E8"/>
    <w:rsid w:val="00DD7046"/>
    <w:rsid w:val="00DD7405"/>
    <w:rsid w:val="00DD7B58"/>
    <w:rsid w:val="00DE0444"/>
    <w:rsid w:val="00DE1ADF"/>
    <w:rsid w:val="00DE41A1"/>
    <w:rsid w:val="00DE56DD"/>
    <w:rsid w:val="00DE5DC4"/>
    <w:rsid w:val="00DE628D"/>
    <w:rsid w:val="00DE797C"/>
    <w:rsid w:val="00DF02CA"/>
    <w:rsid w:val="00DF0EC1"/>
    <w:rsid w:val="00DF67FF"/>
    <w:rsid w:val="00E07AAB"/>
    <w:rsid w:val="00E103F0"/>
    <w:rsid w:val="00E14E6D"/>
    <w:rsid w:val="00E15720"/>
    <w:rsid w:val="00E20FAA"/>
    <w:rsid w:val="00E220C6"/>
    <w:rsid w:val="00E2288F"/>
    <w:rsid w:val="00E25313"/>
    <w:rsid w:val="00E311E6"/>
    <w:rsid w:val="00E343AE"/>
    <w:rsid w:val="00E37F05"/>
    <w:rsid w:val="00E4058F"/>
    <w:rsid w:val="00E418D9"/>
    <w:rsid w:val="00E4326A"/>
    <w:rsid w:val="00E5151F"/>
    <w:rsid w:val="00E53D83"/>
    <w:rsid w:val="00E5757B"/>
    <w:rsid w:val="00E60B32"/>
    <w:rsid w:val="00E639B1"/>
    <w:rsid w:val="00E64989"/>
    <w:rsid w:val="00E64F4E"/>
    <w:rsid w:val="00E7516A"/>
    <w:rsid w:val="00E7524D"/>
    <w:rsid w:val="00E81156"/>
    <w:rsid w:val="00E85726"/>
    <w:rsid w:val="00E9355C"/>
    <w:rsid w:val="00E94223"/>
    <w:rsid w:val="00EA04E6"/>
    <w:rsid w:val="00EA0DD7"/>
    <w:rsid w:val="00EA3EB8"/>
    <w:rsid w:val="00EA510B"/>
    <w:rsid w:val="00EB0533"/>
    <w:rsid w:val="00EB1BE8"/>
    <w:rsid w:val="00EB22CD"/>
    <w:rsid w:val="00EB2911"/>
    <w:rsid w:val="00EB5E47"/>
    <w:rsid w:val="00EB6BDA"/>
    <w:rsid w:val="00EC2D46"/>
    <w:rsid w:val="00EC3340"/>
    <w:rsid w:val="00EC4BDA"/>
    <w:rsid w:val="00EC539C"/>
    <w:rsid w:val="00EC5A20"/>
    <w:rsid w:val="00ED00DC"/>
    <w:rsid w:val="00ED4971"/>
    <w:rsid w:val="00ED677A"/>
    <w:rsid w:val="00EE1C0E"/>
    <w:rsid w:val="00EE3A62"/>
    <w:rsid w:val="00EE4064"/>
    <w:rsid w:val="00EE68A3"/>
    <w:rsid w:val="00EE7811"/>
    <w:rsid w:val="00EF040A"/>
    <w:rsid w:val="00EF1DE3"/>
    <w:rsid w:val="00EF1E9E"/>
    <w:rsid w:val="00EF2D7D"/>
    <w:rsid w:val="00EF3B5F"/>
    <w:rsid w:val="00EF44D4"/>
    <w:rsid w:val="00EF72D2"/>
    <w:rsid w:val="00EF7BF0"/>
    <w:rsid w:val="00F07F14"/>
    <w:rsid w:val="00F10748"/>
    <w:rsid w:val="00F15255"/>
    <w:rsid w:val="00F16A77"/>
    <w:rsid w:val="00F17C2D"/>
    <w:rsid w:val="00F23FF6"/>
    <w:rsid w:val="00F24CD7"/>
    <w:rsid w:val="00F31E58"/>
    <w:rsid w:val="00F340B0"/>
    <w:rsid w:val="00F34983"/>
    <w:rsid w:val="00F36034"/>
    <w:rsid w:val="00F3776A"/>
    <w:rsid w:val="00F46244"/>
    <w:rsid w:val="00F46485"/>
    <w:rsid w:val="00F53473"/>
    <w:rsid w:val="00F55BCC"/>
    <w:rsid w:val="00F5644D"/>
    <w:rsid w:val="00F56938"/>
    <w:rsid w:val="00F5778A"/>
    <w:rsid w:val="00F62E78"/>
    <w:rsid w:val="00F65ED7"/>
    <w:rsid w:val="00F665FB"/>
    <w:rsid w:val="00F66AD3"/>
    <w:rsid w:val="00F705F3"/>
    <w:rsid w:val="00F75AE7"/>
    <w:rsid w:val="00F7632C"/>
    <w:rsid w:val="00F77FC2"/>
    <w:rsid w:val="00F815AC"/>
    <w:rsid w:val="00F850C5"/>
    <w:rsid w:val="00F86029"/>
    <w:rsid w:val="00F864AA"/>
    <w:rsid w:val="00F86E34"/>
    <w:rsid w:val="00F90F8C"/>
    <w:rsid w:val="00F917A4"/>
    <w:rsid w:val="00F94B33"/>
    <w:rsid w:val="00F95722"/>
    <w:rsid w:val="00F96185"/>
    <w:rsid w:val="00F97003"/>
    <w:rsid w:val="00F976BE"/>
    <w:rsid w:val="00F97C70"/>
    <w:rsid w:val="00FA0A29"/>
    <w:rsid w:val="00FA2308"/>
    <w:rsid w:val="00FA6242"/>
    <w:rsid w:val="00FA6755"/>
    <w:rsid w:val="00FB34D0"/>
    <w:rsid w:val="00FB5B77"/>
    <w:rsid w:val="00FC1F09"/>
    <w:rsid w:val="00FC2773"/>
    <w:rsid w:val="00FC3493"/>
    <w:rsid w:val="00FC6219"/>
    <w:rsid w:val="00FD0EFF"/>
    <w:rsid w:val="00FD1163"/>
    <w:rsid w:val="00FD1A9F"/>
    <w:rsid w:val="00FD2F96"/>
    <w:rsid w:val="00FD306F"/>
    <w:rsid w:val="00FD3725"/>
    <w:rsid w:val="00FD5810"/>
    <w:rsid w:val="00FD6A09"/>
    <w:rsid w:val="00FD7204"/>
    <w:rsid w:val="00FE1135"/>
    <w:rsid w:val="00FE1965"/>
    <w:rsid w:val="00FE1A67"/>
    <w:rsid w:val="00FE1B28"/>
    <w:rsid w:val="00FE3765"/>
    <w:rsid w:val="00FE3868"/>
    <w:rsid w:val="00FE4E0E"/>
    <w:rsid w:val="00FF10AC"/>
    <w:rsid w:val="00FF523D"/>
    <w:rsid w:val="00FF79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99B"/>
    <w:pPr>
      <w:spacing w:after="160" w:line="259" w:lineRule="auto"/>
    </w:pPr>
    <w:rPr>
      <w:lang w:val="fr-FR"/>
    </w:rPr>
  </w:style>
  <w:style w:type="paragraph" w:styleId="Heading1">
    <w:name w:val="heading 1"/>
    <w:basedOn w:val="Normal"/>
    <w:next w:val="Normal"/>
    <w:link w:val="Heading1Char"/>
    <w:uiPriority w:val="99"/>
    <w:qFormat/>
    <w:rsid w:val="00F90F8C"/>
    <w:pPr>
      <w:keepNext/>
      <w:keepLines/>
      <w:numPr>
        <w:numId w:val="3"/>
      </w:numPr>
      <w:spacing w:before="360" w:after="360" w:line="240" w:lineRule="auto"/>
      <w:jc w:val="both"/>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9"/>
    <w:qFormat/>
    <w:rsid w:val="00F90F8C"/>
    <w:pPr>
      <w:keepNext/>
      <w:keepLines/>
      <w:numPr>
        <w:ilvl w:val="1"/>
        <w:numId w:val="3"/>
      </w:numPr>
      <w:spacing w:before="240" w:after="240" w:line="240" w:lineRule="auto"/>
      <w:jc w:val="both"/>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9"/>
    <w:qFormat/>
    <w:rsid w:val="00F90F8C"/>
    <w:pPr>
      <w:keepNext/>
      <w:keepLines/>
      <w:numPr>
        <w:ilvl w:val="2"/>
        <w:numId w:val="3"/>
      </w:numPr>
      <w:spacing w:before="240" w:after="240" w:line="240" w:lineRule="auto"/>
      <w:jc w:val="both"/>
      <w:outlineLvl w:val="2"/>
    </w:pPr>
    <w:rPr>
      <w:rFonts w:ascii="Calibri Light" w:eastAsia="Times New Roman" w:hAnsi="Calibri Light"/>
      <w:b/>
      <w:bCs/>
      <w:color w:val="5B9BD5"/>
      <w:sz w:val="24"/>
    </w:rPr>
  </w:style>
  <w:style w:type="paragraph" w:styleId="Heading4">
    <w:name w:val="heading 4"/>
    <w:basedOn w:val="Normal"/>
    <w:next w:val="Normal"/>
    <w:link w:val="Heading4Char"/>
    <w:uiPriority w:val="99"/>
    <w:qFormat/>
    <w:rsid w:val="00F90F8C"/>
    <w:pPr>
      <w:keepNext/>
      <w:keepLines/>
      <w:numPr>
        <w:ilvl w:val="3"/>
        <w:numId w:val="3"/>
      </w:numPr>
      <w:spacing w:before="200" w:after="200" w:line="240" w:lineRule="auto"/>
      <w:ind w:left="1723" w:hanging="646"/>
      <w:jc w:val="both"/>
      <w:outlineLvl w:val="3"/>
    </w:pPr>
    <w:rPr>
      <w:rFonts w:ascii="Calibri Light" w:eastAsia="Times New Roman" w:hAnsi="Calibri Light"/>
      <w:b/>
      <w:bCs/>
      <w:i/>
      <w:iCs/>
      <w:color w:val="5B9BD5"/>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0F8C"/>
    <w:rPr>
      <w:rFonts w:ascii="Calibri Light" w:hAnsi="Calibri Light" w:cs="Times New Roman"/>
      <w:b/>
      <w:bCs/>
      <w:color w:val="2E74B5"/>
      <w:sz w:val="28"/>
      <w:szCs w:val="28"/>
    </w:rPr>
  </w:style>
  <w:style w:type="character" w:customStyle="1" w:styleId="Heading2Char">
    <w:name w:val="Heading 2 Char"/>
    <w:basedOn w:val="DefaultParagraphFont"/>
    <w:link w:val="Heading2"/>
    <w:uiPriority w:val="99"/>
    <w:locked/>
    <w:rsid w:val="00F90F8C"/>
    <w:rPr>
      <w:rFonts w:ascii="Calibri Light" w:hAnsi="Calibri Light" w:cs="Times New Roman"/>
      <w:b/>
      <w:bCs/>
      <w:color w:val="5B9BD5"/>
      <w:sz w:val="26"/>
      <w:szCs w:val="26"/>
    </w:rPr>
  </w:style>
  <w:style w:type="character" w:customStyle="1" w:styleId="Heading3Char">
    <w:name w:val="Heading 3 Char"/>
    <w:basedOn w:val="DefaultParagraphFont"/>
    <w:link w:val="Heading3"/>
    <w:uiPriority w:val="99"/>
    <w:locked/>
    <w:rsid w:val="00F90F8C"/>
    <w:rPr>
      <w:rFonts w:ascii="Calibri Light" w:hAnsi="Calibri Light" w:cs="Times New Roman"/>
      <w:b/>
      <w:bCs/>
      <w:color w:val="5B9BD5"/>
      <w:sz w:val="24"/>
    </w:rPr>
  </w:style>
  <w:style w:type="character" w:customStyle="1" w:styleId="Heading4Char">
    <w:name w:val="Heading 4 Char"/>
    <w:basedOn w:val="DefaultParagraphFont"/>
    <w:link w:val="Heading4"/>
    <w:uiPriority w:val="99"/>
    <w:locked/>
    <w:rsid w:val="00F90F8C"/>
    <w:rPr>
      <w:rFonts w:ascii="Calibri Light" w:hAnsi="Calibri Light" w:cs="Times New Roman"/>
      <w:b/>
      <w:bCs/>
      <w:i/>
      <w:iCs/>
      <w:color w:val="5B9BD5"/>
      <w:sz w:val="24"/>
    </w:rPr>
  </w:style>
  <w:style w:type="paragraph" w:customStyle="1" w:styleId="Default">
    <w:name w:val="Default"/>
    <w:uiPriority w:val="99"/>
    <w:rsid w:val="00203786"/>
    <w:pPr>
      <w:autoSpaceDE w:val="0"/>
      <w:autoSpaceDN w:val="0"/>
      <w:adjustRightInd w:val="0"/>
    </w:pPr>
    <w:rPr>
      <w:rFonts w:ascii="Corbel" w:hAnsi="Corbel" w:cs="Corbel"/>
      <w:color w:val="000000"/>
      <w:sz w:val="24"/>
      <w:szCs w:val="24"/>
      <w:lang w:val="fr-FR"/>
    </w:rPr>
  </w:style>
  <w:style w:type="character" w:styleId="Hyperlink">
    <w:name w:val="Hyperlink"/>
    <w:basedOn w:val="DefaultParagraphFont"/>
    <w:uiPriority w:val="99"/>
    <w:rsid w:val="00203786"/>
    <w:rPr>
      <w:rFonts w:cs="Times New Roman"/>
      <w:color w:val="0563C1"/>
      <w:u w:val="single"/>
    </w:rPr>
  </w:style>
  <w:style w:type="paragraph" w:styleId="FootnoteText">
    <w:name w:val="footnote text"/>
    <w:basedOn w:val="Normal"/>
    <w:link w:val="FootnoteTextChar"/>
    <w:uiPriority w:val="99"/>
    <w:semiHidden/>
    <w:rsid w:val="00CF02C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F02C4"/>
    <w:rPr>
      <w:rFonts w:cs="Times New Roman"/>
      <w:sz w:val="20"/>
      <w:szCs w:val="20"/>
    </w:rPr>
  </w:style>
  <w:style w:type="character" w:styleId="FootnoteReference">
    <w:name w:val="footnote reference"/>
    <w:basedOn w:val="DefaultParagraphFont"/>
    <w:uiPriority w:val="99"/>
    <w:semiHidden/>
    <w:rsid w:val="00CF02C4"/>
    <w:rPr>
      <w:rFonts w:cs="Times New Roman"/>
      <w:vertAlign w:val="superscript"/>
    </w:rPr>
  </w:style>
  <w:style w:type="character" w:customStyle="1" w:styleId="st">
    <w:name w:val="st"/>
    <w:basedOn w:val="DefaultParagraphFont"/>
    <w:uiPriority w:val="99"/>
    <w:rsid w:val="00F97C70"/>
    <w:rPr>
      <w:rFonts w:cs="Times New Roman"/>
    </w:rPr>
  </w:style>
  <w:style w:type="paragraph" w:styleId="NormalWeb">
    <w:name w:val="Normal (Web)"/>
    <w:basedOn w:val="Normal"/>
    <w:uiPriority w:val="99"/>
    <w:semiHidden/>
    <w:rsid w:val="008A7428"/>
    <w:rPr>
      <w:rFonts w:ascii="Times New Roman" w:hAnsi="Times New Roman"/>
      <w:sz w:val="24"/>
      <w:szCs w:val="24"/>
    </w:rPr>
  </w:style>
  <w:style w:type="paragraph" w:styleId="ListParagraph">
    <w:name w:val="List Paragraph"/>
    <w:basedOn w:val="Normal"/>
    <w:uiPriority w:val="99"/>
    <w:qFormat/>
    <w:rsid w:val="003A62F5"/>
    <w:pPr>
      <w:ind w:left="720"/>
      <w:contextualSpacing/>
    </w:pPr>
  </w:style>
  <w:style w:type="character" w:styleId="Strong">
    <w:name w:val="Strong"/>
    <w:basedOn w:val="DefaultParagraphFont"/>
    <w:uiPriority w:val="99"/>
    <w:qFormat/>
    <w:rsid w:val="00FE3868"/>
    <w:rPr>
      <w:rFonts w:cs="Times New Roman"/>
      <w:b/>
      <w:bCs/>
    </w:rPr>
  </w:style>
  <w:style w:type="paragraph" w:styleId="Header">
    <w:name w:val="header"/>
    <w:basedOn w:val="Normal"/>
    <w:link w:val="HeaderChar"/>
    <w:uiPriority w:val="99"/>
    <w:rsid w:val="002D5E1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D5E15"/>
    <w:rPr>
      <w:rFonts w:cs="Times New Roman"/>
    </w:rPr>
  </w:style>
  <w:style w:type="paragraph" w:styleId="Footer">
    <w:name w:val="footer"/>
    <w:basedOn w:val="Normal"/>
    <w:link w:val="FooterChar"/>
    <w:uiPriority w:val="99"/>
    <w:rsid w:val="002D5E1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D5E15"/>
    <w:rPr>
      <w:rFonts w:cs="Times New Roman"/>
    </w:rPr>
  </w:style>
  <w:style w:type="paragraph" w:styleId="BalloonText">
    <w:name w:val="Balloon Text"/>
    <w:basedOn w:val="Normal"/>
    <w:link w:val="BalloonTextChar"/>
    <w:uiPriority w:val="99"/>
    <w:semiHidden/>
    <w:rsid w:val="009C3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3B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1975387">
      <w:marLeft w:val="0"/>
      <w:marRight w:val="0"/>
      <w:marTop w:val="0"/>
      <w:marBottom w:val="0"/>
      <w:divBdr>
        <w:top w:val="none" w:sz="0" w:space="0" w:color="auto"/>
        <w:left w:val="none" w:sz="0" w:space="0" w:color="auto"/>
        <w:bottom w:val="none" w:sz="0" w:space="0" w:color="auto"/>
        <w:right w:val="none" w:sz="0" w:space="0" w:color="auto"/>
      </w:divBdr>
    </w:div>
    <w:div w:id="2131975389">
      <w:marLeft w:val="0"/>
      <w:marRight w:val="0"/>
      <w:marTop w:val="0"/>
      <w:marBottom w:val="0"/>
      <w:divBdr>
        <w:top w:val="none" w:sz="0" w:space="0" w:color="auto"/>
        <w:left w:val="none" w:sz="0" w:space="0" w:color="auto"/>
        <w:bottom w:val="none" w:sz="0" w:space="0" w:color="auto"/>
        <w:right w:val="none" w:sz="0" w:space="0" w:color="auto"/>
      </w:divBdr>
    </w:div>
    <w:div w:id="2131975391">
      <w:marLeft w:val="0"/>
      <w:marRight w:val="0"/>
      <w:marTop w:val="0"/>
      <w:marBottom w:val="0"/>
      <w:divBdr>
        <w:top w:val="none" w:sz="0" w:space="0" w:color="auto"/>
        <w:left w:val="none" w:sz="0" w:space="0" w:color="auto"/>
        <w:bottom w:val="none" w:sz="0" w:space="0" w:color="auto"/>
        <w:right w:val="none" w:sz="0" w:space="0" w:color="auto"/>
      </w:divBdr>
      <w:divsChild>
        <w:div w:id="2131975390">
          <w:marLeft w:val="0"/>
          <w:marRight w:val="0"/>
          <w:marTop w:val="0"/>
          <w:marBottom w:val="0"/>
          <w:divBdr>
            <w:top w:val="none" w:sz="0" w:space="0" w:color="auto"/>
            <w:left w:val="none" w:sz="0" w:space="0" w:color="auto"/>
            <w:bottom w:val="none" w:sz="0" w:space="0" w:color="auto"/>
            <w:right w:val="none" w:sz="0" w:space="0" w:color="auto"/>
          </w:divBdr>
        </w:div>
        <w:div w:id="2131975394">
          <w:marLeft w:val="0"/>
          <w:marRight w:val="0"/>
          <w:marTop w:val="0"/>
          <w:marBottom w:val="0"/>
          <w:divBdr>
            <w:top w:val="none" w:sz="0" w:space="0" w:color="auto"/>
            <w:left w:val="none" w:sz="0" w:space="0" w:color="auto"/>
            <w:bottom w:val="none" w:sz="0" w:space="0" w:color="auto"/>
            <w:right w:val="none" w:sz="0" w:space="0" w:color="auto"/>
          </w:divBdr>
        </w:div>
        <w:div w:id="2131975397">
          <w:marLeft w:val="0"/>
          <w:marRight w:val="0"/>
          <w:marTop w:val="0"/>
          <w:marBottom w:val="0"/>
          <w:divBdr>
            <w:top w:val="none" w:sz="0" w:space="0" w:color="auto"/>
            <w:left w:val="none" w:sz="0" w:space="0" w:color="auto"/>
            <w:bottom w:val="none" w:sz="0" w:space="0" w:color="auto"/>
            <w:right w:val="none" w:sz="0" w:space="0" w:color="auto"/>
          </w:divBdr>
        </w:div>
      </w:divsChild>
    </w:div>
    <w:div w:id="2131975392">
      <w:marLeft w:val="0"/>
      <w:marRight w:val="0"/>
      <w:marTop w:val="0"/>
      <w:marBottom w:val="0"/>
      <w:divBdr>
        <w:top w:val="none" w:sz="0" w:space="0" w:color="auto"/>
        <w:left w:val="none" w:sz="0" w:space="0" w:color="auto"/>
        <w:bottom w:val="none" w:sz="0" w:space="0" w:color="auto"/>
        <w:right w:val="none" w:sz="0" w:space="0" w:color="auto"/>
      </w:divBdr>
      <w:divsChild>
        <w:div w:id="2131975399">
          <w:marLeft w:val="720"/>
          <w:marRight w:val="720"/>
          <w:marTop w:val="100"/>
          <w:marBottom w:val="100"/>
          <w:divBdr>
            <w:top w:val="none" w:sz="0" w:space="0" w:color="auto"/>
            <w:left w:val="none" w:sz="0" w:space="0" w:color="auto"/>
            <w:bottom w:val="none" w:sz="0" w:space="0" w:color="auto"/>
            <w:right w:val="none" w:sz="0" w:space="0" w:color="auto"/>
          </w:divBdr>
        </w:div>
      </w:divsChild>
    </w:div>
    <w:div w:id="2131975393">
      <w:marLeft w:val="0"/>
      <w:marRight w:val="0"/>
      <w:marTop w:val="0"/>
      <w:marBottom w:val="0"/>
      <w:divBdr>
        <w:top w:val="none" w:sz="0" w:space="0" w:color="auto"/>
        <w:left w:val="none" w:sz="0" w:space="0" w:color="auto"/>
        <w:bottom w:val="none" w:sz="0" w:space="0" w:color="auto"/>
        <w:right w:val="none" w:sz="0" w:space="0" w:color="auto"/>
      </w:divBdr>
    </w:div>
    <w:div w:id="2131975398">
      <w:marLeft w:val="0"/>
      <w:marRight w:val="0"/>
      <w:marTop w:val="0"/>
      <w:marBottom w:val="0"/>
      <w:divBdr>
        <w:top w:val="none" w:sz="0" w:space="0" w:color="auto"/>
        <w:left w:val="none" w:sz="0" w:space="0" w:color="auto"/>
        <w:bottom w:val="none" w:sz="0" w:space="0" w:color="auto"/>
        <w:right w:val="none" w:sz="0" w:space="0" w:color="auto"/>
      </w:divBdr>
    </w:div>
    <w:div w:id="2131975400">
      <w:marLeft w:val="0"/>
      <w:marRight w:val="0"/>
      <w:marTop w:val="0"/>
      <w:marBottom w:val="0"/>
      <w:divBdr>
        <w:top w:val="none" w:sz="0" w:space="0" w:color="auto"/>
        <w:left w:val="none" w:sz="0" w:space="0" w:color="auto"/>
        <w:bottom w:val="none" w:sz="0" w:space="0" w:color="auto"/>
        <w:right w:val="none" w:sz="0" w:space="0" w:color="auto"/>
      </w:divBdr>
      <w:divsChild>
        <w:div w:id="2131975388">
          <w:marLeft w:val="0"/>
          <w:marRight w:val="0"/>
          <w:marTop w:val="0"/>
          <w:marBottom w:val="0"/>
          <w:divBdr>
            <w:top w:val="none" w:sz="0" w:space="0" w:color="auto"/>
            <w:left w:val="none" w:sz="0" w:space="0" w:color="auto"/>
            <w:bottom w:val="none" w:sz="0" w:space="0" w:color="auto"/>
            <w:right w:val="none" w:sz="0" w:space="0" w:color="auto"/>
          </w:divBdr>
        </w:div>
        <w:div w:id="2131975395">
          <w:marLeft w:val="0"/>
          <w:marRight w:val="0"/>
          <w:marTop w:val="0"/>
          <w:marBottom w:val="0"/>
          <w:divBdr>
            <w:top w:val="none" w:sz="0" w:space="0" w:color="auto"/>
            <w:left w:val="none" w:sz="0" w:space="0" w:color="auto"/>
            <w:bottom w:val="none" w:sz="0" w:space="0" w:color="auto"/>
            <w:right w:val="none" w:sz="0" w:space="0" w:color="auto"/>
          </w:divBdr>
        </w:div>
        <w:div w:id="2131975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ouleco.fr/LGV-Toulouse-Bordeaux-faire-reposer-le-financement-sur-la,280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uleco.fr/LGV-Bordeaux-Toulouse-Les-entreprises-ne-veulent-pas-etre-taxees,280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ouleco.fr/Occitanie-Une-nouvelle-taxe-sur-les-entreprises-pour-financer-la,27959"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oulouse.latribune.fr/politique/territoires/2019-06-19/quelles-recettes-fiscales-pour-financer-la-lgv-toulouse-bordeaux-820927.html" TargetMode="External"/><Relationship Id="rId2" Type="http://schemas.openxmlformats.org/officeDocument/2006/relationships/hyperlink" Target="https://www.ladepeche.fr/article/2016/04/12/2323628-lgv-bordeaux-toulouse-carole-delga-veut-partenariat-public-prive.html" TargetMode="External"/><Relationship Id="rId1" Type="http://schemas.openxmlformats.org/officeDocument/2006/relationships/hyperlink" Target="http://www.aqui.fr/politiques/voeux-alain-rousset-objectif-elections-presidentielles-et-reindustrialisation-de-la-france,5927.html" TargetMode="External"/><Relationship Id="rId6" Type="http://schemas.openxmlformats.org/officeDocument/2006/relationships/hyperlink" Target="https://www.touleco.fr/LGV-Toulouse-Bordeaux-faire-reposer-le-financement-sur-la,28091" TargetMode="External"/><Relationship Id="rId5" Type="http://schemas.openxmlformats.org/officeDocument/2006/relationships/hyperlink" Target="http://www.touleco.fr/LGV-Bordeaux-Toulouse-Les-entreprises-ne-veulent-pas-etre-taxees,28021" TargetMode="External"/><Relationship Id="rId4" Type="http://schemas.openxmlformats.org/officeDocument/2006/relationships/hyperlink" Target="https://toulouse.latribune.fr/politique/2019-10-04/lgv-toulouse-bordeaux-un-deal-sur-le-financement-attendu-pour-fin-2019-8298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11</Pages>
  <Words>3149</Words>
  <Characters>17324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L'Arnaque du financement</dc:title>
  <dc:subject/>
  <dc:creator>Principal</dc:creator>
  <cp:keywords/>
  <dc:description/>
  <cp:lastModifiedBy>Xavier</cp:lastModifiedBy>
  <cp:revision>2</cp:revision>
  <dcterms:created xsi:type="dcterms:W3CDTF">2020-09-22T14:14:00Z</dcterms:created>
  <dcterms:modified xsi:type="dcterms:W3CDTF">2020-09-22T14:14:00Z</dcterms:modified>
</cp:coreProperties>
</file>