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2A" w:rsidRPr="00212D23" w:rsidRDefault="001E6C2A" w:rsidP="00212D23">
      <w:pPr>
        <w:spacing w:line="240" w:lineRule="auto"/>
        <w:rPr>
          <w:rFonts w:ascii="Times New Roman" w:hAnsi="Times New Roman"/>
          <w:sz w:val="24"/>
          <w:szCs w:val="24"/>
          <w:lang w:eastAsia="fr-FR"/>
        </w:rPr>
      </w:pPr>
    </w:p>
    <w:p w:rsidR="001E6C2A" w:rsidRPr="00212D23" w:rsidRDefault="001E6C2A" w:rsidP="00212D23">
      <w:pPr>
        <w:spacing w:line="240" w:lineRule="auto"/>
        <w:rPr>
          <w:rFonts w:ascii="Times New Roman" w:hAnsi="Times New Roman"/>
          <w:sz w:val="24"/>
          <w:szCs w:val="24"/>
          <w:lang w:eastAsia="fr-FR"/>
        </w:rPr>
      </w:pPr>
      <w:hyperlink r:id="rId5" w:tooltip="&quot;La Clau&quot; " w:history="1">
        <w:r w:rsidRPr="00C158D0">
          <w:rPr>
            <w:rFonts w:ascii="Times New Roman" w:hAnsi="Times New Roman"/>
            <w:noProof/>
            <w:color w:val="0000F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a Clau" href="https://www.la-clau.net/" title="&quot;La Clau&quot;" style="width:140.25pt;height:42pt;visibility:visible" o:button="t">
              <v:fill o:detectmouseclick="t"/>
              <v:imagedata r:id="rId6" o:title=""/>
            </v:shape>
          </w:pict>
        </w:r>
      </w:hyperlink>
    </w:p>
    <w:p w:rsidR="001E6C2A" w:rsidRPr="00212D23" w:rsidRDefault="001E6C2A" w:rsidP="00212D23">
      <w:pPr>
        <w:spacing w:line="240" w:lineRule="auto"/>
        <w:rPr>
          <w:rFonts w:ascii="Times New Roman" w:hAnsi="Times New Roman"/>
          <w:sz w:val="24"/>
          <w:szCs w:val="24"/>
          <w:lang w:eastAsia="fr-FR"/>
        </w:rPr>
      </w:pPr>
      <w:r w:rsidRPr="00212D23">
        <w:rPr>
          <w:rFonts w:ascii="Times New Roman" w:hAnsi="Times New Roman"/>
          <w:sz w:val="24"/>
          <w:szCs w:val="24"/>
          <w:lang w:eastAsia="fr-FR"/>
        </w:rPr>
        <w:t xml:space="preserve">Vendredi 29 juin 2018. 15:30h </w:t>
      </w:r>
    </w:p>
    <w:p w:rsidR="001E6C2A" w:rsidRPr="00212D23" w:rsidRDefault="001E6C2A" w:rsidP="00212D23">
      <w:pPr>
        <w:spacing w:before="100" w:beforeAutospacing="1" w:after="100" w:afterAutospacing="1" w:line="240" w:lineRule="auto"/>
        <w:ind w:left="720"/>
        <w:rPr>
          <w:rFonts w:ascii="Times New Roman" w:hAnsi="Times New Roman"/>
          <w:sz w:val="24"/>
          <w:szCs w:val="24"/>
          <w:lang w:eastAsia="fr-FR"/>
        </w:rPr>
      </w:pPr>
      <w:hyperlink r:id="rId7" w:history="1">
        <w:r w:rsidRPr="00212D23">
          <w:rPr>
            <w:rFonts w:ascii="Times New Roman" w:hAnsi="Times New Roman"/>
            <w:color w:val="0000FF"/>
            <w:sz w:val="24"/>
            <w:szCs w:val="24"/>
            <w:u w:val="single"/>
            <w:lang w:eastAsia="fr-FR"/>
          </w:rPr>
          <w:t>LA CLAU</w:t>
        </w:r>
      </w:hyperlink>
    </w:p>
    <w:p w:rsidR="001E6C2A" w:rsidRPr="00212D23" w:rsidRDefault="001E6C2A" w:rsidP="00212D23">
      <w:pPr>
        <w:spacing w:line="240" w:lineRule="auto"/>
        <w:rPr>
          <w:rFonts w:ascii="Times New Roman" w:hAnsi="Times New Roman"/>
          <w:sz w:val="24"/>
          <w:szCs w:val="24"/>
          <w:lang w:eastAsia="fr-FR"/>
        </w:rPr>
      </w:pPr>
    </w:p>
    <w:p w:rsidR="001E6C2A" w:rsidRPr="00212D23" w:rsidRDefault="001E6C2A" w:rsidP="00212D23">
      <w:pPr>
        <w:spacing w:before="100" w:beforeAutospacing="1" w:after="100" w:afterAutospacing="1" w:line="240" w:lineRule="auto"/>
        <w:outlineLvl w:val="5"/>
        <w:rPr>
          <w:rFonts w:ascii="Times New Roman" w:hAnsi="Times New Roman"/>
          <w:b/>
          <w:bCs/>
          <w:sz w:val="15"/>
          <w:szCs w:val="15"/>
          <w:lang w:eastAsia="fr-FR"/>
        </w:rPr>
      </w:pPr>
      <w:hyperlink r:id="rId8" w:history="1">
        <w:r w:rsidRPr="00212D23">
          <w:rPr>
            <w:rFonts w:ascii="Times New Roman" w:hAnsi="Times New Roman"/>
            <w:b/>
            <w:bCs/>
            <w:color w:val="0000FF"/>
            <w:sz w:val="15"/>
            <w:szCs w:val="15"/>
            <w:u w:val="single"/>
            <w:lang w:eastAsia="fr-FR"/>
          </w:rPr>
          <w:t>Economie</w:t>
        </w:r>
      </w:hyperlink>
    </w:p>
    <w:p w:rsidR="001E6C2A" w:rsidRPr="00212D23" w:rsidRDefault="001E6C2A" w:rsidP="00212D23">
      <w:pPr>
        <w:spacing w:before="100" w:beforeAutospacing="1" w:after="100" w:afterAutospacing="1" w:line="240" w:lineRule="auto"/>
        <w:outlineLvl w:val="4"/>
        <w:rPr>
          <w:rFonts w:ascii="Times New Roman" w:hAnsi="Times New Roman"/>
          <w:b/>
          <w:bCs/>
          <w:sz w:val="20"/>
          <w:szCs w:val="20"/>
          <w:lang w:eastAsia="fr-FR"/>
        </w:rPr>
      </w:pPr>
      <w:r w:rsidRPr="00212D23">
        <w:rPr>
          <w:rFonts w:ascii="Times New Roman" w:hAnsi="Times New Roman"/>
          <w:b/>
          <w:bCs/>
          <w:sz w:val="20"/>
          <w:szCs w:val="20"/>
          <w:lang w:eastAsia="fr-FR"/>
        </w:rPr>
        <w:t>L'Union européenne pointe du doigt un réseau trop politisé</w:t>
      </w:r>
    </w:p>
    <w:p w:rsidR="001E6C2A" w:rsidRPr="00212D23" w:rsidRDefault="001E6C2A" w:rsidP="00212D23">
      <w:pPr>
        <w:spacing w:before="100" w:beforeAutospacing="1" w:after="100" w:afterAutospacing="1" w:line="240" w:lineRule="auto"/>
        <w:outlineLvl w:val="1"/>
        <w:rPr>
          <w:rFonts w:ascii="Times New Roman" w:hAnsi="Times New Roman"/>
          <w:b/>
          <w:bCs/>
          <w:sz w:val="36"/>
          <w:szCs w:val="36"/>
          <w:lang w:eastAsia="fr-FR"/>
        </w:rPr>
      </w:pPr>
      <w:r w:rsidRPr="00212D23">
        <w:rPr>
          <w:rFonts w:ascii="Times New Roman" w:hAnsi="Times New Roman"/>
          <w:b/>
          <w:bCs/>
          <w:sz w:val="36"/>
          <w:szCs w:val="36"/>
          <w:lang w:eastAsia="fr-FR"/>
        </w:rPr>
        <w:t>Rapport cinglant de Bruxelles sur le TGV espagnol: trop cher, trop lent, trop politique</w:t>
      </w:r>
    </w:p>
    <w:p w:rsidR="001E6C2A" w:rsidRPr="00212D23" w:rsidRDefault="001E6C2A" w:rsidP="00212D23">
      <w:pPr>
        <w:spacing w:line="240" w:lineRule="auto"/>
        <w:rPr>
          <w:rFonts w:ascii="Times New Roman" w:hAnsi="Times New Roman"/>
          <w:sz w:val="24"/>
          <w:szCs w:val="24"/>
          <w:lang w:eastAsia="fr-FR"/>
        </w:rPr>
      </w:pPr>
      <w:r w:rsidRPr="00212D23">
        <w:rPr>
          <w:rFonts w:ascii="Times New Roman" w:hAnsi="Times New Roman"/>
          <w:sz w:val="24"/>
          <w:szCs w:val="24"/>
          <w:lang w:eastAsia="fr-FR"/>
        </w:rPr>
        <w:t xml:space="preserve">Jeudi 28.6.2018. 03:00h </w:t>
      </w:r>
    </w:p>
    <w:p w:rsidR="001E6C2A" w:rsidRPr="00212D23" w:rsidRDefault="001E6C2A" w:rsidP="00212D23">
      <w:pPr>
        <w:spacing w:line="240" w:lineRule="auto"/>
        <w:rPr>
          <w:rFonts w:ascii="Times New Roman" w:hAnsi="Times New Roman"/>
          <w:sz w:val="24"/>
          <w:szCs w:val="24"/>
          <w:lang w:eastAsia="fr-FR"/>
        </w:rPr>
      </w:pPr>
      <w:r w:rsidRPr="00212D23">
        <w:rPr>
          <w:rFonts w:ascii="Times New Roman" w:hAnsi="Times New Roman"/>
          <w:sz w:val="24"/>
          <w:szCs w:val="24"/>
          <w:lang w:eastAsia="fr-FR"/>
        </w:rPr>
        <w:t xml:space="preserve">Le réseau TGV espagnol a coûté trop cher, est trop politique et sans passagers, selon un rapport cinglant de la cour des comptes européennes remis le 26 juin. Sur la ligne Perpignan-Figueres, les trains circulent à 36% de la vitesse prévue. </w:t>
      </w:r>
    </w:p>
    <w:p w:rsidR="001E6C2A" w:rsidRPr="00212D23" w:rsidRDefault="001E6C2A" w:rsidP="00212D23">
      <w:pPr>
        <w:spacing w:before="100" w:beforeAutospacing="1" w:after="100" w:afterAutospacing="1" w:line="240" w:lineRule="auto"/>
        <w:rPr>
          <w:rFonts w:ascii="Times New Roman" w:hAnsi="Times New Roman"/>
          <w:sz w:val="24"/>
          <w:szCs w:val="24"/>
          <w:lang w:eastAsia="fr-FR"/>
        </w:rPr>
      </w:pPr>
      <w:r w:rsidRPr="00212D23">
        <w:rPr>
          <w:rFonts w:ascii="Times New Roman" w:hAnsi="Times New Roman"/>
          <w:sz w:val="24"/>
          <w:szCs w:val="24"/>
          <w:lang w:eastAsia="fr-FR"/>
        </w:rPr>
        <w:t xml:space="preserve">Le réseau TGV espagnol, le plus long du monde après celui de la Chine, est visé par la cour des comptes européens. Dans un rapport communiqué mardi 26 juin, cette instance pointe du doigt un coût de réalisation trop élevé et un service </w:t>
      </w:r>
      <w:r w:rsidRPr="00212D23">
        <w:rPr>
          <w:rFonts w:ascii="Times New Roman" w:hAnsi="Times New Roman"/>
          <w:i/>
          <w:iCs/>
          <w:sz w:val="24"/>
          <w:szCs w:val="24"/>
          <w:lang w:eastAsia="fr-FR"/>
        </w:rPr>
        <w:t>« inefficace »</w:t>
      </w:r>
      <w:r w:rsidRPr="00212D23">
        <w:rPr>
          <w:rFonts w:ascii="Times New Roman" w:hAnsi="Times New Roman"/>
          <w:sz w:val="24"/>
          <w:szCs w:val="24"/>
          <w:lang w:eastAsia="fr-FR"/>
        </w:rPr>
        <w:t xml:space="preserve">, car certaines lignes manquent de passagers. En moyenne, les AVE en Espagne accueillent 5 millions de passagers par kilomètre, contre 19,2 millions pour les TGV en France. Selon ce document, l'Espagne a reçu 47% des fonds européens destinés aux Lignes à Grande Vitesse (LGV), plus que la France, l'Allemagne et la Pologne réunies. Cette manne s'élevant à 11,2 milliards d'euros, distribuée de 2000 à 2017, a notamment été affectée à la construction de la ligne La Jonquera-Barcelone. </w:t>
      </w:r>
      <w:hyperlink r:id="rId9" w:history="1">
        <w:r w:rsidRPr="00212D23">
          <w:rPr>
            <w:rFonts w:ascii="Times New Roman" w:hAnsi="Times New Roman"/>
            <w:color w:val="0000FF"/>
            <w:sz w:val="24"/>
            <w:szCs w:val="24"/>
            <w:u w:val="single"/>
            <w:lang w:eastAsia="fr-FR"/>
          </w:rPr>
          <w:t>Le réseau espagnol, déficitaire en 2017</w:t>
        </w:r>
      </w:hyperlink>
      <w:r w:rsidRPr="00212D23">
        <w:rPr>
          <w:rFonts w:ascii="Times New Roman" w:hAnsi="Times New Roman"/>
          <w:sz w:val="24"/>
          <w:szCs w:val="24"/>
          <w:lang w:eastAsia="fr-FR"/>
        </w:rPr>
        <w:t>, a représenté un investissement européen de 1159 euros par habitant lors de cette période, contre 603 euros pour chaque Français.</w:t>
      </w:r>
      <w:r w:rsidRPr="00212D23">
        <w:rPr>
          <w:rFonts w:ascii="Times New Roman" w:hAnsi="Times New Roman"/>
          <w:sz w:val="24"/>
          <w:szCs w:val="24"/>
          <w:lang w:eastAsia="fr-FR"/>
        </w:rPr>
        <w:br/>
      </w:r>
      <w:r w:rsidRPr="00212D23">
        <w:rPr>
          <w:rFonts w:ascii="Times New Roman" w:hAnsi="Times New Roman"/>
          <w:sz w:val="24"/>
          <w:szCs w:val="24"/>
          <w:lang w:eastAsia="fr-FR"/>
        </w:rPr>
        <w:br/>
      </w:r>
      <w:r w:rsidRPr="00212D23">
        <w:rPr>
          <w:rFonts w:ascii="Times New Roman" w:hAnsi="Times New Roman"/>
          <w:b/>
          <w:bCs/>
          <w:sz w:val="24"/>
          <w:szCs w:val="24"/>
          <w:lang w:eastAsia="fr-FR"/>
        </w:rPr>
        <w:t>Trains trop lents et peu remplis</w:t>
      </w:r>
      <w:r w:rsidRPr="00212D23">
        <w:rPr>
          <w:rFonts w:ascii="Times New Roman" w:hAnsi="Times New Roman"/>
          <w:sz w:val="24"/>
          <w:szCs w:val="24"/>
          <w:lang w:eastAsia="fr-FR"/>
        </w:rPr>
        <w:br/>
      </w:r>
      <w:r w:rsidRPr="00212D23">
        <w:rPr>
          <w:rFonts w:ascii="Times New Roman" w:hAnsi="Times New Roman"/>
          <w:sz w:val="24"/>
          <w:szCs w:val="24"/>
          <w:lang w:eastAsia="fr-FR"/>
        </w:rPr>
        <w:br/>
        <w:t>En matière de vitesse, le réseau espagnol présente des résultats édifiants sur l'axe Madrid-Galice, où les AVE plafonnent à 110 km/h, soit 29% des 350 km/h attendus. On relève  54% sur la ligne Barcelone-Madrid et 36% sur Perpignan-Figueres, ligne dont la faible vitesse est due au partage des voies avec des trains de marchandises. L'état des lieux européen de la LGV espagnole met en exergue un surcoût de construction de 38,5% pour la ligne La Jonquera-Barcelone-Madrid, soit 12,1 milliards d'euros. Ce document aborde aussi les préférences idéologiques, qui conduisent à priver l'axe Barcelone-Valence de grande vitesse :</w:t>
      </w:r>
      <w:r w:rsidRPr="00212D23">
        <w:rPr>
          <w:rFonts w:ascii="Times New Roman" w:hAnsi="Times New Roman"/>
          <w:i/>
          <w:iCs/>
          <w:sz w:val="24"/>
          <w:szCs w:val="24"/>
          <w:lang w:eastAsia="fr-FR"/>
        </w:rPr>
        <w:t xml:space="preserve"> « la décision de construire des lignes à grande vitesse est basée habituellement sur des considérations politiques ». </w:t>
      </w:r>
      <w:r w:rsidRPr="00212D23">
        <w:rPr>
          <w:rFonts w:ascii="Times New Roman" w:hAnsi="Times New Roman"/>
          <w:sz w:val="24"/>
          <w:szCs w:val="24"/>
          <w:lang w:eastAsia="fr-FR"/>
        </w:rPr>
        <w:t>Selon ce même critère, pour le territoire français, les usagers seraient en mesure de s'interroger sur l'absence de Ligne à Grande Vitesse entre Perpignan et Montpellier.</w:t>
      </w:r>
    </w:p>
    <w:p w:rsidR="001E6C2A" w:rsidRDefault="001E6C2A"/>
    <w:sectPr w:rsidR="001E6C2A" w:rsidSect="00A47E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80E50"/>
    <w:multiLevelType w:val="multilevel"/>
    <w:tmpl w:val="9BA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D23"/>
    <w:rsid w:val="001E6C2A"/>
    <w:rsid w:val="00212D23"/>
    <w:rsid w:val="004A058E"/>
    <w:rsid w:val="006151DC"/>
    <w:rsid w:val="00962CF6"/>
    <w:rsid w:val="00A47EEB"/>
    <w:rsid w:val="00B84711"/>
    <w:rsid w:val="00C158D0"/>
    <w:rsid w:val="00E121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8E"/>
    <w:pPr>
      <w:spacing w:line="276" w:lineRule="auto"/>
    </w:pPr>
    <w:rPr>
      <w:lang w:val="fr-FR"/>
    </w:rPr>
  </w:style>
  <w:style w:type="paragraph" w:styleId="Heading2">
    <w:name w:val="heading 2"/>
    <w:basedOn w:val="Normal"/>
    <w:link w:val="Heading2Char"/>
    <w:uiPriority w:val="99"/>
    <w:qFormat/>
    <w:rsid w:val="00212D23"/>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Heading3">
    <w:name w:val="heading 3"/>
    <w:basedOn w:val="Normal"/>
    <w:link w:val="Heading3Char"/>
    <w:uiPriority w:val="99"/>
    <w:qFormat/>
    <w:rsid w:val="00212D23"/>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Heading5">
    <w:name w:val="heading 5"/>
    <w:basedOn w:val="Normal"/>
    <w:link w:val="Heading5Char"/>
    <w:uiPriority w:val="99"/>
    <w:qFormat/>
    <w:rsid w:val="00212D23"/>
    <w:pPr>
      <w:spacing w:before="100" w:beforeAutospacing="1" w:after="100" w:afterAutospacing="1" w:line="240" w:lineRule="auto"/>
      <w:outlineLvl w:val="4"/>
    </w:pPr>
    <w:rPr>
      <w:rFonts w:ascii="Times New Roman" w:eastAsia="Times New Roman" w:hAnsi="Times New Roman"/>
      <w:b/>
      <w:bCs/>
      <w:sz w:val="20"/>
      <w:szCs w:val="20"/>
      <w:lang w:eastAsia="fr-FR"/>
    </w:rPr>
  </w:style>
  <w:style w:type="paragraph" w:styleId="Heading6">
    <w:name w:val="heading 6"/>
    <w:basedOn w:val="Normal"/>
    <w:link w:val="Heading6Char"/>
    <w:uiPriority w:val="99"/>
    <w:qFormat/>
    <w:rsid w:val="00212D23"/>
    <w:pPr>
      <w:spacing w:before="100" w:beforeAutospacing="1" w:after="100" w:afterAutospacing="1" w:line="240" w:lineRule="auto"/>
      <w:outlineLvl w:val="5"/>
    </w:pPr>
    <w:rPr>
      <w:rFonts w:ascii="Times New Roman" w:eastAsia="Times New Roman" w:hAnsi="Times New Roman"/>
      <w:b/>
      <w:bCs/>
      <w:sz w:val="15"/>
      <w:szCs w:val="15"/>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12D23"/>
    <w:rPr>
      <w:rFonts w:ascii="Times New Roman" w:hAnsi="Times New Roman" w:cs="Times New Roman"/>
      <w:b/>
      <w:bCs/>
      <w:sz w:val="36"/>
      <w:szCs w:val="36"/>
      <w:lang w:eastAsia="fr-FR"/>
    </w:rPr>
  </w:style>
  <w:style w:type="character" w:customStyle="1" w:styleId="Heading3Char">
    <w:name w:val="Heading 3 Char"/>
    <w:basedOn w:val="DefaultParagraphFont"/>
    <w:link w:val="Heading3"/>
    <w:uiPriority w:val="99"/>
    <w:locked/>
    <w:rsid w:val="00212D23"/>
    <w:rPr>
      <w:rFonts w:ascii="Times New Roman" w:hAnsi="Times New Roman" w:cs="Times New Roman"/>
      <w:b/>
      <w:bCs/>
      <w:sz w:val="27"/>
      <w:szCs w:val="27"/>
      <w:lang w:eastAsia="fr-FR"/>
    </w:rPr>
  </w:style>
  <w:style w:type="character" w:customStyle="1" w:styleId="Heading5Char">
    <w:name w:val="Heading 5 Char"/>
    <w:basedOn w:val="DefaultParagraphFont"/>
    <w:link w:val="Heading5"/>
    <w:uiPriority w:val="99"/>
    <w:locked/>
    <w:rsid w:val="00212D23"/>
    <w:rPr>
      <w:rFonts w:ascii="Times New Roman" w:hAnsi="Times New Roman" w:cs="Times New Roman"/>
      <w:b/>
      <w:bCs/>
      <w:sz w:val="20"/>
      <w:szCs w:val="20"/>
      <w:lang w:eastAsia="fr-FR"/>
    </w:rPr>
  </w:style>
  <w:style w:type="character" w:customStyle="1" w:styleId="Heading6Char">
    <w:name w:val="Heading 6 Char"/>
    <w:basedOn w:val="DefaultParagraphFont"/>
    <w:link w:val="Heading6"/>
    <w:uiPriority w:val="99"/>
    <w:locked/>
    <w:rsid w:val="00212D23"/>
    <w:rPr>
      <w:rFonts w:ascii="Times New Roman" w:hAnsi="Times New Roman" w:cs="Times New Roman"/>
      <w:b/>
      <w:bCs/>
      <w:sz w:val="15"/>
      <w:szCs w:val="15"/>
      <w:lang w:eastAsia="fr-FR"/>
    </w:rPr>
  </w:style>
  <w:style w:type="character" w:styleId="Hyperlink">
    <w:name w:val="Hyperlink"/>
    <w:basedOn w:val="DefaultParagraphFont"/>
    <w:uiPriority w:val="99"/>
    <w:semiHidden/>
    <w:rsid w:val="00212D23"/>
    <w:rPr>
      <w:rFonts w:cs="Times New Roman"/>
      <w:color w:val="0000FF"/>
      <w:u w:val="single"/>
    </w:rPr>
  </w:style>
  <w:style w:type="paragraph" w:styleId="z-TopofForm">
    <w:name w:val="HTML Top of Form"/>
    <w:basedOn w:val="Normal"/>
    <w:next w:val="Normal"/>
    <w:link w:val="z-TopofFormChar"/>
    <w:hidden/>
    <w:uiPriority w:val="99"/>
    <w:semiHidden/>
    <w:rsid w:val="00212D23"/>
    <w:pPr>
      <w:pBdr>
        <w:bottom w:val="single" w:sz="6" w:space="1" w:color="auto"/>
      </w:pBdr>
      <w:spacing w:line="240" w:lineRule="auto"/>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semiHidden/>
    <w:locked/>
    <w:rsid w:val="00212D23"/>
    <w:rPr>
      <w:rFonts w:ascii="Arial" w:hAnsi="Arial" w:cs="Arial"/>
      <w:vanish/>
      <w:sz w:val="16"/>
      <w:szCs w:val="16"/>
      <w:lang w:eastAsia="fr-FR"/>
    </w:rPr>
  </w:style>
  <w:style w:type="paragraph" w:styleId="z-BottomofForm">
    <w:name w:val="HTML Bottom of Form"/>
    <w:basedOn w:val="Normal"/>
    <w:next w:val="Normal"/>
    <w:link w:val="z-BottomofFormChar"/>
    <w:hidden/>
    <w:uiPriority w:val="99"/>
    <w:semiHidden/>
    <w:rsid w:val="00212D23"/>
    <w:pPr>
      <w:pBdr>
        <w:top w:val="single" w:sz="6" w:space="1" w:color="auto"/>
      </w:pBdr>
      <w:spacing w:line="240" w:lineRule="auto"/>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semiHidden/>
    <w:locked/>
    <w:rsid w:val="00212D23"/>
    <w:rPr>
      <w:rFonts w:ascii="Arial" w:hAnsi="Arial" w:cs="Arial"/>
      <w:vanish/>
      <w:sz w:val="16"/>
      <w:szCs w:val="16"/>
      <w:lang w:eastAsia="fr-FR"/>
    </w:rPr>
  </w:style>
  <w:style w:type="character" w:styleId="Strong">
    <w:name w:val="Strong"/>
    <w:basedOn w:val="DefaultParagraphFont"/>
    <w:uiPriority w:val="99"/>
    <w:qFormat/>
    <w:rsid w:val="00212D23"/>
    <w:rPr>
      <w:rFonts w:cs="Times New Roman"/>
      <w:b/>
      <w:bCs/>
    </w:rPr>
  </w:style>
  <w:style w:type="character" w:customStyle="1" w:styleId="blaucel">
    <w:name w:val="blau_cel"/>
    <w:basedOn w:val="DefaultParagraphFont"/>
    <w:uiPriority w:val="99"/>
    <w:rsid w:val="00212D23"/>
    <w:rPr>
      <w:rFonts w:cs="Times New Roman"/>
    </w:rPr>
  </w:style>
  <w:style w:type="character" w:customStyle="1" w:styleId="data">
    <w:name w:val="data"/>
    <w:basedOn w:val="DefaultParagraphFont"/>
    <w:uiPriority w:val="99"/>
    <w:rsid w:val="00212D23"/>
    <w:rPr>
      <w:rFonts w:cs="Times New Roman"/>
    </w:rPr>
  </w:style>
  <w:style w:type="character" w:customStyle="1" w:styleId="entradeta">
    <w:name w:val="entradeta"/>
    <w:basedOn w:val="DefaultParagraphFont"/>
    <w:uiPriority w:val="99"/>
    <w:rsid w:val="00212D23"/>
    <w:rPr>
      <w:rFonts w:cs="Times New Roman"/>
    </w:rPr>
  </w:style>
  <w:style w:type="paragraph" w:styleId="NormalWeb">
    <w:name w:val="Normal (Web)"/>
    <w:basedOn w:val="Normal"/>
    <w:uiPriority w:val="99"/>
    <w:semiHidden/>
    <w:rsid w:val="00212D23"/>
    <w:pPr>
      <w:spacing w:before="100" w:beforeAutospacing="1" w:after="100" w:afterAutospacing="1" w:line="240" w:lineRule="auto"/>
    </w:pPr>
    <w:rPr>
      <w:rFonts w:ascii="Times New Roman" w:eastAsia="Times New Roman" w:hAnsi="Times New Roman"/>
      <w:sz w:val="24"/>
      <w:szCs w:val="24"/>
      <w:lang w:eastAsia="fr-FR"/>
    </w:rPr>
  </w:style>
  <w:style w:type="character" w:styleId="Emphasis">
    <w:name w:val="Emphasis"/>
    <w:basedOn w:val="DefaultParagraphFont"/>
    <w:uiPriority w:val="99"/>
    <w:qFormat/>
    <w:rsid w:val="00212D23"/>
    <w:rPr>
      <w:rFonts w:cs="Times New Roman"/>
      <w:i/>
      <w:iCs/>
    </w:rPr>
  </w:style>
  <w:style w:type="paragraph" w:styleId="BalloonText">
    <w:name w:val="Balloon Text"/>
    <w:basedOn w:val="Normal"/>
    <w:link w:val="BalloonTextChar"/>
    <w:uiPriority w:val="99"/>
    <w:semiHidden/>
    <w:rsid w:val="00212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2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807439">
      <w:marLeft w:val="0"/>
      <w:marRight w:val="0"/>
      <w:marTop w:val="0"/>
      <w:marBottom w:val="0"/>
      <w:divBdr>
        <w:top w:val="none" w:sz="0" w:space="0" w:color="auto"/>
        <w:left w:val="none" w:sz="0" w:space="0" w:color="auto"/>
        <w:bottom w:val="none" w:sz="0" w:space="0" w:color="auto"/>
        <w:right w:val="none" w:sz="0" w:space="0" w:color="auto"/>
      </w:divBdr>
      <w:divsChild>
        <w:div w:id="853807434">
          <w:marLeft w:val="0"/>
          <w:marRight w:val="0"/>
          <w:marTop w:val="0"/>
          <w:marBottom w:val="0"/>
          <w:divBdr>
            <w:top w:val="none" w:sz="0" w:space="0" w:color="auto"/>
            <w:left w:val="none" w:sz="0" w:space="0" w:color="auto"/>
            <w:bottom w:val="none" w:sz="0" w:space="0" w:color="auto"/>
            <w:right w:val="none" w:sz="0" w:space="0" w:color="auto"/>
          </w:divBdr>
          <w:divsChild>
            <w:div w:id="853807440">
              <w:marLeft w:val="0"/>
              <w:marRight w:val="0"/>
              <w:marTop w:val="0"/>
              <w:marBottom w:val="0"/>
              <w:divBdr>
                <w:top w:val="none" w:sz="0" w:space="0" w:color="auto"/>
                <w:left w:val="none" w:sz="0" w:space="0" w:color="auto"/>
                <w:bottom w:val="none" w:sz="0" w:space="0" w:color="auto"/>
                <w:right w:val="none" w:sz="0" w:space="0" w:color="auto"/>
              </w:divBdr>
              <w:divsChild>
                <w:div w:id="853807445">
                  <w:marLeft w:val="0"/>
                  <w:marRight w:val="0"/>
                  <w:marTop w:val="0"/>
                  <w:marBottom w:val="0"/>
                  <w:divBdr>
                    <w:top w:val="none" w:sz="0" w:space="0" w:color="auto"/>
                    <w:left w:val="none" w:sz="0" w:space="0" w:color="auto"/>
                    <w:bottom w:val="none" w:sz="0" w:space="0" w:color="auto"/>
                    <w:right w:val="none" w:sz="0" w:space="0" w:color="auto"/>
                  </w:divBdr>
                  <w:divsChild>
                    <w:div w:id="853807430">
                      <w:marLeft w:val="0"/>
                      <w:marRight w:val="0"/>
                      <w:marTop w:val="0"/>
                      <w:marBottom w:val="0"/>
                      <w:divBdr>
                        <w:top w:val="none" w:sz="0" w:space="0" w:color="auto"/>
                        <w:left w:val="none" w:sz="0" w:space="0" w:color="auto"/>
                        <w:bottom w:val="none" w:sz="0" w:space="0" w:color="auto"/>
                        <w:right w:val="none" w:sz="0" w:space="0" w:color="auto"/>
                      </w:divBdr>
                    </w:div>
                    <w:div w:id="853807448">
                      <w:marLeft w:val="0"/>
                      <w:marRight w:val="0"/>
                      <w:marTop w:val="0"/>
                      <w:marBottom w:val="0"/>
                      <w:divBdr>
                        <w:top w:val="none" w:sz="0" w:space="0" w:color="auto"/>
                        <w:left w:val="none" w:sz="0" w:space="0" w:color="auto"/>
                        <w:bottom w:val="none" w:sz="0" w:space="0" w:color="auto"/>
                        <w:right w:val="none" w:sz="0" w:space="0" w:color="auto"/>
                      </w:divBdr>
                      <w:divsChild>
                        <w:div w:id="853807442">
                          <w:marLeft w:val="0"/>
                          <w:marRight w:val="0"/>
                          <w:marTop w:val="0"/>
                          <w:marBottom w:val="0"/>
                          <w:divBdr>
                            <w:top w:val="none" w:sz="0" w:space="0" w:color="auto"/>
                            <w:left w:val="none" w:sz="0" w:space="0" w:color="auto"/>
                            <w:bottom w:val="none" w:sz="0" w:space="0" w:color="auto"/>
                            <w:right w:val="none" w:sz="0" w:space="0" w:color="auto"/>
                          </w:divBdr>
                        </w:div>
                      </w:divsChild>
                    </w:div>
                    <w:div w:id="853807449">
                      <w:marLeft w:val="0"/>
                      <w:marRight w:val="0"/>
                      <w:marTop w:val="0"/>
                      <w:marBottom w:val="0"/>
                      <w:divBdr>
                        <w:top w:val="none" w:sz="0" w:space="0" w:color="auto"/>
                        <w:left w:val="none" w:sz="0" w:space="0" w:color="auto"/>
                        <w:bottom w:val="none" w:sz="0" w:space="0" w:color="auto"/>
                        <w:right w:val="none" w:sz="0" w:space="0" w:color="auto"/>
                      </w:divBdr>
                    </w:div>
                    <w:div w:id="853807450">
                      <w:marLeft w:val="0"/>
                      <w:marRight w:val="0"/>
                      <w:marTop w:val="0"/>
                      <w:marBottom w:val="0"/>
                      <w:divBdr>
                        <w:top w:val="none" w:sz="0" w:space="0" w:color="auto"/>
                        <w:left w:val="none" w:sz="0" w:space="0" w:color="auto"/>
                        <w:bottom w:val="none" w:sz="0" w:space="0" w:color="auto"/>
                        <w:right w:val="none" w:sz="0" w:space="0" w:color="auto"/>
                      </w:divBdr>
                    </w:div>
                  </w:divsChild>
                </w:div>
                <w:div w:id="853807447">
                  <w:marLeft w:val="0"/>
                  <w:marRight w:val="0"/>
                  <w:marTop w:val="0"/>
                  <w:marBottom w:val="0"/>
                  <w:divBdr>
                    <w:top w:val="none" w:sz="0" w:space="0" w:color="auto"/>
                    <w:left w:val="none" w:sz="0" w:space="0" w:color="auto"/>
                    <w:bottom w:val="none" w:sz="0" w:space="0" w:color="auto"/>
                    <w:right w:val="none" w:sz="0" w:space="0" w:color="auto"/>
                  </w:divBdr>
                  <w:divsChild>
                    <w:div w:id="853807428">
                      <w:marLeft w:val="0"/>
                      <w:marRight w:val="0"/>
                      <w:marTop w:val="0"/>
                      <w:marBottom w:val="0"/>
                      <w:divBdr>
                        <w:top w:val="none" w:sz="0" w:space="0" w:color="auto"/>
                        <w:left w:val="none" w:sz="0" w:space="0" w:color="auto"/>
                        <w:bottom w:val="none" w:sz="0" w:space="0" w:color="auto"/>
                        <w:right w:val="none" w:sz="0" w:space="0" w:color="auto"/>
                      </w:divBdr>
                    </w:div>
                    <w:div w:id="853807432">
                      <w:marLeft w:val="0"/>
                      <w:marRight w:val="0"/>
                      <w:marTop w:val="0"/>
                      <w:marBottom w:val="0"/>
                      <w:divBdr>
                        <w:top w:val="none" w:sz="0" w:space="0" w:color="auto"/>
                        <w:left w:val="none" w:sz="0" w:space="0" w:color="auto"/>
                        <w:bottom w:val="none" w:sz="0" w:space="0" w:color="auto"/>
                        <w:right w:val="none" w:sz="0" w:space="0" w:color="auto"/>
                      </w:divBdr>
                      <w:divsChild>
                        <w:div w:id="853807446">
                          <w:marLeft w:val="0"/>
                          <w:marRight w:val="0"/>
                          <w:marTop w:val="0"/>
                          <w:marBottom w:val="0"/>
                          <w:divBdr>
                            <w:top w:val="none" w:sz="0" w:space="0" w:color="auto"/>
                            <w:left w:val="none" w:sz="0" w:space="0" w:color="auto"/>
                            <w:bottom w:val="none" w:sz="0" w:space="0" w:color="auto"/>
                            <w:right w:val="none" w:sz="0" w:space="0" w:color="auto"/>
                          </w:divBdr>
                        </w:div>
                      </w:divsChild>
                    </w:div>
                    <w:div w:id="853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7437">
          <w:marLeft w:val="0"/>
          <w:marRight w:val="0"/>
          <w:marTop w:val="0"/>
          <w:marBottom w:val="0"/>
          <w:divBdr>
            <w:top w:val="none" w:sz="0" w:space="0" w:color="auto"/>
            <w:left w:val="none" w:sz="0" w:space="0" w:color="auto"/>
            <w:bottom w:val="none" w:sz="0" w:space="0" w:color="auto"/>
            <w:right w:val="none" w:sz="0" w:space="0" w:color="auto"/>
          </w:divBdr>
          <w:divsChild>
            <w:div w:id="853807441">
              <w:marLeft w:val="0"/>
              <w:marRight w:val="0"/>
              <w:marTop w:val="0"/>
              <w:marBottom w:val="0"/>
              <w:divBdr>
                <w:top w:val="none" w:sz="0" w:space="0" w:color="auto"/>
                <w:left w:val="none" w:sz="0" w:space="0" w:color="auto"/>
                <w:bottom w:val="none" w:sz="0" w:space="0" w:color="auto"/>
                <w:right w:val="none" w:sz="0" w:space="0" w:color="auto"/>
              </w:divBdr>
              <w:divsChild>
                <w:div w:id="853807429">
                  <w:marLeft w:val="0"/>
                  <w:marRight w:val="0"/>
                  <w:marTop w:val="0"/>
                  <w:marBottom w:val="0"/>
                  <w:divBdr>
                    <w:top w:val="none" w:sz="0" w:space="0" w:color="auto"/>
                    <w:left w:val="none" w:sz="0" w:space="0" w:color="auto"/>
                    <w:bottom w:val="none" w:sz="0" w:space="0" w:color="auto"/>
                    <w:right w:val="none" w:sz="0" w:space="0" w:color="auto"/>
                  </w:divBdr>
                </w:div>
                <w:div w:id="853807438">
                  <w:marLeft w:val="0"/>
                  <w:marRight w:val="0"/>
                  <w:marTop w:val="0"/>
                  <w:marBottom w:val="0"/>
                  <w:divBdr>
                    <w:top w:val="none" w:sz="0" w:space="0" w:color="auto"/>
                    <w:left w:val="none" w:sz="0" w:space="0" w:color="auto"/>
                    <w:bottom w:val="none" w:sz="0" w:space="0" w:color="auto"/>
                    <w:right w:val="none" w:sz="0" w:space="0" w:color="auto"/>
                  </w:divBdr>
                  <w:divsChild>
                    <w:div w:id="8538074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7443">
          <w:marLeft w:val="0"/>
          <w:marRight w:val="0"/>
          <w:marTop w:val="0"/>
          <w:marBottom w:val="0"/>
          <w:divBdr>
            <w:top w:val="none" w:sz="0" w:space="0" w:color="auto"/>
            <w:left w:val="none" w:sz="0" w:space="0" w:color="auto"/>
            <w:bottom w:val="none" w:sz="0" w:space="0" w:color="auto"/>
            <w:right w:val="none" w:sz="0" w:space="0" w:color="auto"/>
          </w:divBdr>
          <w:divsChild>
            <w:div w:id="853807435">
              <w:marLeft w:val="0"/>
              <w:marRight w:val="0"/>
              <w:marTop w:val="0"/>
              <w:marBottom w:val="0"/>
              <w:divBdr>
                <w:top w:val="none" w:sz="0" w:space="0" w:color="auto"/>
                <w:left w:val="none" w:sz="0" w:space="0" w:color="auto"/>
                <w:bottom w:val="none" w:sz="0" w:space="0" w:color="auto"/>
                <w:right w:val="none" w:sz="0" w:space="0" w:color="auto"/>
              </w:divBdr>
              <w:divsChild>
                <w:div w:id="853807431">
                  <w:marLeft w:val="0"/>
                  <w:marRight w:val="0"/>
                  <w:marTop w:val="0"/>
                  <w:marBottom w:val="0"/>
                  <w:divBdr>
                    <w:top w:val="none" w:sz="0" w:space="0" w:color="auto"/>
                    <w:left w:val="none" w:sz="0" w:space="0" w:color="auto"/>
                    <w:bottom w:val="none" w:sz="0" w:space="0" w:color="auto"/>
                    <w:right w:val="none" w:sz="0" w:space="0" w:color="auto"/>
                  </w:divBdr>
                </w:div>
                <w:div w:id="853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clau.net/actu/economie" TargetMode="External"/><Relationship Id="rId3" Type="http://schemas.openxmlformats.org/officeDocument/2006/relationships/settings" Target="settings.xml"/><Relationship Id="rId7" Type="http://schemas.openxmlformats.org/officeDocument/2006/relationships/hyperlink" Target="https://www.la-clau.net/la-cl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la-clau.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clau.net/info/11793/deficit-abyssal-du-tgv-espagnol-en-2017-11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396</Words>
  <Characters>2182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Victor</dc:creator>
  <cp:keywords/>
  <dc:description/>
  <cp:lastModifiedBy>Xavier</cp:lastModifiedBy>
  <cp:revision>2</cp:revision>
  <dcterms:created xsi:type="dcterms:W3CDTF">2018-07-02T12:39:00Z</dcterms:created>
  <dcterms:modified xsi:type="dcterms:W3CDTF">2018-07-02T12:39:00Z</dcterms:modified>
</cp:coreProperties>
</file>