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B3" w:rsidRPr="00B374B3" w:rsidRDefault="00B374B3" w:rsidP="00B374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Journal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Deia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 30/06/2015</w:t>
      </w:r>
    </w:p>
    <w:p w:rsidR="00D732A3" w:rsidRDefault="00D732A3" w:rsidP="00A3649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 xml:space="preserve">Si la proposition de financement de la commission européenne reçoit le feu vert le 10 juillet prochain, le corridor atlantique et l’Y basque recevront une important investissement public européen qui </w:t>
      </w:r>
      <w:r w:rsidR="00FC4C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atteindra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 xml:space="preserve"> pour Euskadi 523 des 827 millions d’euros dévolus par Bruxelles à l’Etat espagnol à travers la première</w:t>
      </w:r>
      <w:r w:rsidR="005557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 xml:space="preserve"> enveloppe du « Mécanisme Connecter l’Europe » (CEF) destinée à cofinancer les infrastructures de transport pour la période 2014/2020. Des 276 projets retenus par les techniciens communautaires dans cette première fournée, 32 correspondent à des infrastructures espagnoles dont 4 consacrés à des plans en rapport avec le corridor atlantique dans sa traversée d’Euskadi.</w:t>
      </w:r>
    </w:p>
    <w:p w:rsidR="00A36493" w:rsidRDefault="00555796" w:rsidP="00A364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Les critères retenus par l’exécutif communautaire sont au nombre de 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: il faut que ces projets</w:t>
      </w:r>
      <w:r w:rsidR="00A3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 xml:space="preserve"> servent à éliminer les goulots d’étranglement, qu’ils aient une dimension transfrontalière et qu’ils permettent de développer l’intermodalité. Autant de critères qui sont présents dans l’</w:t>
      </w:r>
      <w:r w:rsidR="00FC4C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 xml:space="preserve">Y basque, </w:t>
      </w:r>
      <w:r w:rsidR="00A3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maillon clef du corridor atlantique qui doit relier la péninsule ibérique à l’Europe… Co</w:t>
      </w:r>
      <w:r w:rsidR="009706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n</w:t>
      </w:r>
      <w:r w:rsidR="00A3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cr</w:t>
      </w:r>
      <w:r w:rsidR="00FC4C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è</w:t>
      </w:r>
      <w:r w:rsidR="00A3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 xml:space="preserve">tement Bruxelles apporte une dotation de 459,3 millions d’euros avec un taux de co-financement de 40% aux études et travaux de la section </w:t>
      </w:r>
      <w:proofErr w:type="spellStart"/>
      <w:r w:rsidR="00A3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Bergara</w:t>
      </w:r>
      <w:proofErr w:type="spellEnd"/>
      <w:r w:rsidR="00A3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-</w:t>
      </w:r>
      <w:proofErr w:type="spellStart"/>
      <w:r w:rsidR="00A3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>Donostia</w:t>
      </w:r>
      <w:proofErr w:type="spellEnd"/>
      <w:r w:rsidR="00A364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fr-FR"/>
        </w:rPr>
        <w:t xml:space="preserve">-Bayonne qui inclut le tronçon transfrontalier Irun-Hendaye </w:t>
      </w:r>
      <w:r w:rsidR="00A36493">
        <w:rPr>
          <w:rFonts w:ascii="Times New Roman" w:eastAsia="Times New Roman" w:hAnsi="Times New Roman" w:cs="Times New Roman"/>
          <w:sz w:val="24"/>
          <w:szCs w:val="24"/>
          <w:lang w:eastAsia="fr-FR"/>
        </w:rPr>
        <w:t>[…]</w:t>
      </w:r>
    </w:p>
    <w:p w:rsidR="00FC4C86" w:rsidRPr="00B374B3" w:rsidRDefault="00FC4C86" w:rsidP="00FC4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la liste figurent des projets essentiels pour connecter Euskadi avec l’Europe. Par exemple le plan envisage aussi le versement d’une partie des 52 millions d’euros po</w:t>
      </w:r>
      <w:r w:rsidR="0097068F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 le</w:t>
      </w:r>
      <w:r w:rsidR="0097068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études de la nouvelle ligne ferroviaire entre Bordeaux et Dax et 3 autres millions pour les études du corridor atlantique de marchandises qui passera par Bilbao,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Donostia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Irun.</w:t>
      </w:r>
    </w:p>
    <w:p w:rsidR="00FC4C86" w:rsidRPr="00B374B3" w:rsidRDefault="00FC4C86" w:rsidP="00A364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C4C86" w:rsidRDefault="00FC4C86" w:rsidP="00FC4C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3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La ‘Y’ </w:t>
      </w:r>
      <w:proofErr w:type="spellStart"/>
      <w:r w:rsidRPr="00B3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vasca</w:t>
      </w:r>
      <w:proofErr w:type="spellEnd"/>
      <w:r w:rsidRPr="00B3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recibe</w:t>
      </w:r>
      <w:proofErr w:type="spellEnd"/>
      <w:r w:rsidRPr="00B3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un </w:t>
      </w:r>
      <w:proofErr w:type="spellStart"/>
      <w:r w:rsidRPr="00B3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empujón</w:t>
      </w:r>
      <w:proofErr w:type="spellEnd"/>
      <w:r w:rsidRPr="00B3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de la UE de 523 </w:t>
      </w:r>
      <w:proofErr w:type="spellStart"/>
      <w:r w:rsidRPr="00B3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millones</w:t>
      </w:r>
      <w:proofErr w:type="spellEnd"/>
    </w:p>
    <w:p w:rsidR="00B374B3" w:rsidRPr="00B374B3" w:rsidRDefault="00B374B3" w:rsidP="00B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Comisión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Europea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propone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dotar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corredor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atlántico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el 64% de los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recursos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asignados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España,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dentro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primera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licitación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presupuestaria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Unión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Europea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 2014-2020</w:t>
      </w:r>
    </w:p>
    <w:p w:rsidR="00B374B3" w:rsidRPr="00B374B3" w:rsidRDefault="00B374B3" w:rsidP="00B3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Silvia Martinez - Martes, 30 de Junio de 2015 -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Actualizado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las 06:05h </w:t>
      </w:r>
    </w:p>
    <w:p w:rsidR="00B374B3" w:rsidRPr="00B374B3" w:rsidRDefault="00B374B3" w:rsidP="00B37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374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Bruselas</w:t>
      </w:r>
      <w:proofErr w:type="spellEnd"/>
      <w:r w:rsidRPr="00B374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Si la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propuesta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financiación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Comisión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Europea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recibe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luz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verde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próximo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julio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el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corredor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atlántico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la </w:t>
      </w:r>
      <w:r w:rsidRPr="00B374B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Y</w:t>
      </w:r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vasca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recibirán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importante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inyección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dinero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público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europeo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permitirá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acercar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Euskadi 523 de los 827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millones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euros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asignados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por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Bruselas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Estado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español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dentro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primera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licitación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Mecanismo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Conectar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Europa (CEF en sus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siglas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inglés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destinado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cofinanciar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infraestructuras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transporte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durante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periodo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2014-2020. De los 276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proyectos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escogidos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por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los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técnicos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comunitarios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esta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primera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hornada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-se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presentaron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más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700- un total de 32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corresponden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infraestructuras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españolas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cuatro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ellos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exclusivamente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planes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vinculados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corredor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atlántico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su paso por Euskadi. </w:t>
      </w:r>
    </w:p>
    <w:p w:rsidR="00B374B3" w:rsidRDefault="00B374B3" w:rsidP="00B37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Tres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han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sido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los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criterios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el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Ejecutivo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comunitario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más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valorado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la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hora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escoger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los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beneficiados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licitación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abierta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septiembre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año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pasado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que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sirvan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eliminar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cuellos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botella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tengan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dimensión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transfronteriza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que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permitan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impulsar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multimodalidad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Tres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requisitos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están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muy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presentes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la </w:t>
      </w:r>
      <w:r w:rsidRPr="00B374B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Y</w:t>
      </w:r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vasca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parte clave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corredor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atlántico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debe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unir la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península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Europa, y de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ahí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sea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uno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los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proyectos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los que han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respondido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esta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ocasión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mayor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generosidad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Concretamente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Bruselas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apuesta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por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asignar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los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estudios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trabajos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sección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Bergara-Donostia-Baiona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incluye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tramo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transfronterizo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Irun-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Hendaia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dotación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459,3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millones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euros con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tasa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>cofinanciación</w:t>
      </w:r>
      <w:proofErr w:type="spellEnd"/>
      <w:r w:rsidRPr="00B374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del 40%. </w:t>
      </w:r>
      <w:r w:rsidR="00D732A3">
        <w:rPr>
          <w:rFonts w:ascii="Times New Roman" w:eastAsia="Times New Roman" w:hAnsi="Times New Roman" w:cs="Times New Roman"/>
          <w:sz w:val="24"/>
          <w:szCs w:val="24"/>
          <w:lang w:eastAsia="fr-FR"/>
        </w:rPr>
        <w:t>[…]</w:t>
      </w:r>
    </w:p>
    <w:p w:rsidR="00B34422" w:rsidRDefault="00FC4C86" w:rsidP="00B37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2A3">
        <w:rPr>
          <w:rFonts w:ascii="Times New Roman" w:hAnsi="Times New Roman" w:cs="Times New Roman"/>
          <w:sz w:val="24"/>
          <w:szCs w:val="24"/>
        </w:rPr>
        <w:t xml:space="preserve">[…] </w:t>
      </w:r>
      <w:r w:rsidR="00B374B3" w:rsidRPr="00B374B3">
        <w:rPr>
          <w:rFonts w:ascii="Times New Roman" w:hAnsi="Times New Roman" w:cs="Times New Roman"/>
          <w:sz w:val="24"/>
          <w:szCs w:val="24"/>
        </w:rPr>
        <w:t xml:space="preserve">En la lista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figuran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esenciales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conectar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Euskadi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con Europa.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, el plan contempla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asignación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partida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de 52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millones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nueva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ferroviaria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Burdeos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y Dax y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millones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corredor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mercancías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atlántico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pasará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Bilbao, </w:t>
      </w:r>
      <w:proofErr w:type="spellStart"/>
      <w:r w:rsidR="00B374B3" w:rsidRPr="00B374B3">
        <w:rPr>
          <w:rFonts w:ascii="Times New Roman" w:hAnsi="Times New Roman" w:cs="Times New Roman"/>
          <w:sz w:val="24"/>
          <w:szCs w:val="24"/>
        </w:rPr>
        <w:t>Donostia</w:t>
      </w:r>
      <w:proofErr w:type="spellEnd"/>
      <w:r w:rsidR="00B374B3" w:rsidRPr="00B374B3">
        <w:rPr>
          <w:rFonts w:ascii="Times New Roman" w:hAnsi="Times New Roman" w:cs="Times New Roman"/>
          <w:sz w:val="24"/>
          <w:szCs w:val="24"/>
        </w:rPr>
        <w:t xml:space="preserve"> e Irun.</w:t>
      </w:r>
    </w:p>
    <w:p w:rsidR="00B374B3" w:rsidRDefault="0097068F" w:rsidP="00B374B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374B3" w:rsidRPr="002D4A03">
          <w:rPr>
            <w:rStyle w:val="Lienhypertexte"/>
            <w:rFonts w:ascii="Times New Roman" w:hAnsi="Times New Roman" w:cs="Times New Roman"/>
            <w:sz w:val="24"/>
            <w:szCs w:val="24"/>
          </w:rPr>
          <w:t>http://www.deia.com/2015/06/30/sociedad/euskadi/la-y-vasca-recibe-un-empujon-de-la-ue-de-523-millones</w:t>
        </w:r>
      </w:hyperlink>
    </w:p>
    <w:p w:rsidR="00B374B3" w:rsidRPr="00B374B3" w:rsidRDefault="00B374B3" w:rsidP="00B374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74B3" w:rsidRPr="00B3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00AAD"/>
    <w:multiLevelType w:val="multilevel"/>
    <w:tmpl w:val="5B12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86843"/>
    <w:multiLevelType w:val="multilevel"/>
    <w:tmpl w:val="5BF0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56B26"/>
    <w:multiLevelType w:val="multilevel"/>
    <w:tmpl w:val="CC18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B3"/>
    <w:rsid w:val="000000B1"/>
    <w:rsid w:val="0000113A"/>
    <w:rsid w:val="00005771"/>
    <w:rsid w:val="00007C6D"/>
    <w:rsid w:val="0003386E"/>
    <w:rsid w:val="00045F07"/>
    <w:rsid w:val="00063FAC"/>
    <w:rsid w:val="00066376"/>
    <w:rsid w:val="00067C85"/>
    <w:rsid w:val="00070AA9"/>
    <w:rsid w:val="00072334"/>
    <w:rsid w:val="00077377"/>
    <w:rsid w:val="000849A9"/>
    <w:rsid w:val="00084BF2"/>
    <w:rsid w:val="00085642"/>
    <w:rsid w:val="00095AA6"/>
    <w:rsid w:val="000B16E4"/>
    <w:rsid w:val="000B5C4E"/>
    <w:rsid w:val="000B5D0E"/>
    <w:rsid w:val="000C4C2F"/>
    <w:rsid w:val="000C6E62"/>
    <w:rsid w:val="000D126C"/>
    <w:rsid w:val="000D1659"/>
    <w:rsid w:val="000D7381"/>
    <w:rsid w:val="000E33FC"/>
    <w:rsid w:val="000E3B5F"/>
    <w:rsid w:val="000F20E5"/>
    <w:rsid w:val="000F27F1"/>
    <w:rsid w:val="000F2C8F"/>
    <w:rsid w:val="000F784E"/>
    <w:rsid w:val="000F7903"/>
    <w:rsid w:val="00106C7F"/>
    <w:rsid w:val="0012199F"/>
    <w:rsid w:val="00122091"/>
    <w:rsid w:val="00123BE8"/>
    <w:rsid w:val="00137FB4"/>
    <w:rsid w:val="00140222"/>
    <w:rsid w:val="00146030"/>
    <w:rsid w:val="00151B8E"/>
    <w:rsid w:val="00157B76"/>
    <w:rsid w:val="00166B8E"/>
    <w:rsid w:val="00171020"/>
    <w:rsid w:val="0017121C"/>
    <w:rsid w:val="0017446A"/>
    <w:rsid w:val="001803E5"/>
    <w:rsid w:val="00186B34"/>
    <w:rsid w:val="00187F25"/>
    <w:rsid w:val="00191147"/>
    <w:rsid w:val="0019674B"/>
    <w:rsid w:val="00197C29"/>
    <w:rsid w:val="001B509B"/>
    <w:rsid w:val="001C13E8"/>
    <w:rsid w:val="001D597B"/>
    <w:rsid w:val="001D6560"/>
    <w:rsid w:val="001E0E5F"/>
    <w:rsid w:val="001F6C29"/>
    <w:rsid w:val="00204A99"/>
    <w:rsid w:val="00207D90"/>
    <w:rsid w:val="00216CCA"/>
    <w:rsid w:val="00222494"/>
    <w:rsid w:val="00224D52"/>
    <w:rsid w:val="00225A81"/>
    <w:rsid w:val="00227F1F"/>
    <w:rsid w:val="002309F6"/>
    <w:rsid w:val="00241D27"/>
    <w:rsid w:val="00242269"/>
    <w:rsid w:val="00246DBA"/>
    <w:rsid w:val="00247737"/>
    <w:rsid w:val="00256DFA"/>
    <w:rsid w:val="00262940"/>
    <w:rsid w:val="0027283E"/>
    <w:rsid w:val="0027314C"/>
    <w:rsid w:val="00274F1E"/>
    <w:rsid w:val="00286A0C"/>
    <w:rsid w:val="00294F34"/>
    <w:rsid w:val="002972B9"/>
    <w:rsid w:val="002A2399"/>
    <w:rsid w:val="002A5453"/>
    <w:rsid w:val="002B2426"/>
    <w:rsid w:val="002B530A"/>
    <w:rsid w:val="002C1863"/>
    <w:rsid w:val="002C2B34"/>
    <w:rsid w:val="002D44B4"/>
    <w:rsid w:val="002D73E6"/>
    <w:rsid w:val="002D7BA4"/>
    <w:rsid w:val="002D7C54"/>
    <w:rsid w:val="002E26DD"/>
    <w:rsid w:val="002F2657"/>
    <w:rsid w:val="002F6D4A"/>
    <w:rsid w:val="003078D9"/>
    <w:rsid w:val="00336AED"/>
    <w:rsid w:val="00341FCB"/>
    <w:rsid w:val="003425B9"/>
    <w:rsid w:val="00344008"/>
    <w:rsid w:val="00346459"/>
    <w:rsid w:val="0035044C"/>
    <w:rsid w:val="00352E5E"/>
    <w:rsid w:val="0035338F"/>
    <w:rsid w:val="0035518C"/>
    <w:rsid w:val="00355FD8"/>
    <w:rsid w:val="0036148C"/>
    <w:rsid w:val="00362382"/>
    <w:rsid w:val="00365836"/>
    <w:rsid w:val="00367093"/>
    <w:rsid w:val="003767AA"/>
    <w:rsid w:val="00382755"/>
    <w:rsid w:val="00382D9E"/>
    <w:rsid w:val="00392D20"/>
    <w:rsid w:val="0039683D"/>
    <w:rsid w:val="003A0AF0"/>
    <w:rsid w:val="003A332D"/>
    <w:rsid w:val="003A49FE"/>
    <w:rsid w:val="003B1FA1"/>
    <w:rsid w:val="003C44DA"/>
    <w:rsid w:val="003C604B"/>
    <w:rsid w:val="003D6C67"/>
    <w:rsid w:val="003E4868"/>
    <w:rsid w:val="003E69AC"/>
    <w:rsid w:val="003E741F"/>
    <w:rsid w:val="003F662F"/>
    <w:rsid w:val="003F79F3"/>
    <w:rsid w:val="00401C3A"/>
    <w:rsid w:val="004030DC"/>
    <w:rsid w:val="00413290"/>
    <w:rsid w:val="00413EDF"/>
    <w:rsid w:val="00414F71"/>
    <w:rsid w:val="00417219"/>
    <w:rsid w:val="004221B3"/>
    <w:rsid w:val="004264BF"/>
    <w:rsid w:val="00430385"/>
    <w:rsid w:val="00430C8F"/>
    <w:rsid w:val="0044189F"/>
    <w:rsid w:val="00444896"/>
    <w:rsid w:val="00445714"/>
    <w:rsid w:val="004531CB"/>
    <w:rsid w:val="00465638"/>
    <w:rsid w:val="004678CB"/>
    <w:rsid w:val="00473C0B"/>
    <w:rsid w:val="00477EEC"/>
    <w:rsid w:val="00482975"/>
    <w:rsid w:val="0048347B"/>
    <w:rsid w:val="00483D3D"/>
    <w:rsid w:val="00485CA7"/>
    <w:rsid w:val="004A06E9"/>
    <w:rsid w:val="004A249A"/>
    <w:rsid w:val="004A6CE8"/>
    <w:rsid w:val="004A6F4A"/>
    <w:rsid w:val="004B2AE6"/>
    <w:rsid w:val="004B6AD2"/>
    <w:rsid w:val="004C084A"/>
    <w:rsid w:val="004D6F3E"/>
    <w:rsid w:val="004E6933"/>
    <w:rsid w:val="004F0B54"/>
    <w:rsid w:val="00502A99"/>
    <w:rsid w:val="00502E1F"/>
    <w:rsid w:val="0050375C"/>
    <w:rsid w:val="0051037C"/>
    <w:rsid w:val="0051571F"/>
    <w:rsid w:val="0051673E"/>
    <w:rsid w:val="00525062"/>
    <w:rsid w:val="00531CCB"/>
    <w:rsid w:val="0053460B"/>
    <w:rsid w:val="00547F8C"/>
    <w:rsid w:val="00552FF1"/>
    <w:rsid w:val="00555796"/>
    <w:rsid w:val="00561508"/>
    <w:rsid w:val="005717F7"/>
    <w:rsid w:val="005724A1"/>
    <w:rsid w:val="00592187"/>
    <w:rsid w:val="0059519D"/>
    <w:rsid w:val="005958E2"/>
    <w:rsid w:val="005A0D5C"/>
    <w:rsid w:val="005A4A52"/>
    <w:rsid w:val="005A7E59"/>
    <w:rsid w:val="005B6D1D"/>
    <w:rsid w:val="005D08DD"/>
    <w:rsid w:val="005D1A3E"/>
    <w:rsid w:val="005D48CA"/>
    <w:rsid w:val="005D7A1C"/>
    <w:rsid w:val="005D7A70"/>
    <w:rsid w:val="005F300D"/>
    <w:rsid w:val="005F3653"/>
    <w:rsid w:val="005F407D"/>
    <w:rsid w:val="005F51C7"/>
    <w:rsid w:val="00614476"/>
    <w:rsid w:val="006168FF"/>
    <w:rsid w:val="00623BB8"/>
    <w:rsid w:val="006275DC"/>
    <w:rsid w:val="006316A8"/>
    <w:rsid w:val="006316ED"/>
    <w:rsid w:val="0064445F"/>
    <w:rsid w:val="0064692A"/>
    <w:rsid w:val="00651346"/>
    <w:rsid w:val="0065409E"/>
    <w:rsid w:val="00665327"/>
    <w:rsid w:val="006744CE"/>
    <w:rsid w:val="00680F0D"/>
    <w:rsid w:val="00686D85"/>
    <w:rsid w:val="006B6DED"/>
    <w:rsid w:val="006D14BE"/>
    <w:rsid w:val="006E2923"/>
    <w:rsid w:val="006E5FC5"/>
    <w:rsid w:val="006E71FB"/>
    <w:rsid w:val="006F26C1"/>
    <w:rsid w:val="006F3759"/>
    <w:rsid w:val="006F471D"/>
    <w:rsid w:val="006F625B"/>
    <w:rsid w:val="00700E65"/>
    <w:rsid w:val="00717422"/>
    <w:rsid w:val="00732C59"/>
    <w:rsid w:val="00736E83"/>
    <w:rsid w:val="007373EA"/>
    <w:rsid w:val="00743D14"/>
    <w:rsid w:val="00751FC4"/>
    <w:rsid w:val="0075299F"/>
    <w:rsid w:val="00761981"/>
    <w:rsid w:val="00767728"/>
    <w:rsid w:val="00773A26"/>
    <w:rsid w:val="00776387"/>
    <w:rsid w:val="00780DA6"/>
    <w:rsid w:val="00782E1E"/>
    <w:rsid w:val="0078650E"/>
    <w:rsid w:val="00787262"/>
    <w:rsid w:val="00792995"/>
    <w:rsid w:val="00792C5A"/>
    <w:rsid w:val="007A1928"/>
    <w:rsid w:val="007A2BD3"/>
    <w:rsid w:val="007A4DC0"/>
    <w:rsid w:val="007C1FC1"/>
    <w:rsid w:val="007C4A91"/>
    <w:rsid w:val="007C53EB"/>
    <w:rsid w:val="007D1B91"/>
    <w:rsid w:val="007F184B"/>
    <w:rsid w:val="007F3261"/>
    <w:rsid w:val="0080600F"/>
    <w:rsid w:val="00821A44"/>
    <w:rsid w:val="00822E51"/>
    <w:rsid w:val="00824486"/>
    <w:rsid w:val="0083021E"/>
    <w:rsid w:val="00830B04"/>
    <w:rsid w:val="008332F3"/>
    <w:rsid w:val="008335FB"/>
    <w:rsid w:val="00836F98"/>
    <w:rsid w:val="00846461"/>
    <w:rsid w:val="008507DA"/>
    <w:rsid w:val="00854E8F"/>
    <w:rsid w:val="0086784F"/>
    <w:rsid w:val="0086798D"/>
    <w:rsid w:val="00871B99"/>
    <w:rsid w:val="00876210"/>
    <w:rsid w:val="00880DF3"/>
    <w:rsid w:val="00882FA8"/>
    <w:rsid w:val="0089029E"/>
    <w:rsid w:val="008B2F5C"/>
    <w:rsid w:val="008C4CCF"/>
    <w:rsid w:val="008C632C"/>
    <w:rsid w:val="008C6800"/>
    <w:rsid w:val="008D444E"/>
    <w:rsid w:val="008D67ED"/>
    <w:rsid w:val="008E611C"/>
    <w:rsid w:val="008F0A74"/>
    <w:rsid w:val="008F1083"/>
    <w:rsid w:val="008F2859"/>
    <w:rsid w:val="008F3422"/>
    <w:rsid w:val="008F76B9"/>
    <w:rsid w:val="008F771C"/>
    <w:rsid w:val="00900578"/>
    <w:rsid w:val="00903950"/>
    <w:rsid w:val="0090490F"/>
    <w:rsid w:val="00912669"/>
    <w:rsid w:val="00912F51"/>
    <w:rsid w:val="00915CE9"/>
    <w:rsid w:val="00921EB9"/>
    <w:rsid w:val="00922679"/>
    <w:rsid w:val="00922D2F"/>
    <w:rsid w:val="00925CED"/>
    <w:rsid w:val="00932445"/>
    <w:rsid w:val="009353F6"/>
    <w:rsid w:val="00942830"/>
    <w:rsid w:val="00950CA4"/>
    <w:rsid w:val="00955340"/>
    <w:rsid w:val="00956BF4"/>
    <w:rsid w:val="0097068F"/>
    <w:rsid w:val="00970C3B"/>
    <w:rsid w:val="009772E6"/>
    <w:rsid w:val="0098519C"/>
    <w:rsid w:val="00987C3A"/>
    <w:rsid w:val="00991783"/>
    <w:rsid w:val="009941F5"/>
    <w:rsid w:val="009963C4"/>
    <w:rsid w:val="009A3600"/>
    <w:rsid w:val="009A6D7C"/>
    <w:rsid w:val="009C0D93"/>
    <w:rsid w:val="009C2EE6"/>
    <w:rsid w:val="009C3486"/>
    <w:rsid w:val="009C5000"/>
    <w:rsid w:val="009C6045"/>
    <w:rsid w:val="009D18E6"/>
    <w:rsid w:val="009E3088"/>
    <w:rsid w:val="009E5356"/>
    <w:rsid w:val="009E79E0"/>
    <w:rsid w:val="009F0868"/>
    <w:rsid w:val="00A020B7"/>
    <w:rsid w:val="00A04D92"/>
    <w:rsid w:val="00A117D2"/>
    <w:rsid w:val="00A1613E"/>
    <w:rsid w:val="00A219DB"/>
    <w:rsid w:val="00A22B2F"/>
    <w:rsid w:val="00A342EC"/>
    <w:rsid w:val="00A36493"/>
    <w:rsid w:val="00A418FB"/>
    <w:rsid w:val="00A41AC1"/>
    <w:rsid w:val="00A43448"/>
    <w:rsid w:val="00A44738"/>
    <w:rsid w:val="00A46D94"/>
    <w:rsid w:val="00A47410"/>
    <w:rsid w:val="00A66758"/>
    <w:rsid w:val="00A66A27"/>
    <w:rsid w:val="00A715C5"/>
    <w:rsid w:val="00A7182A"/>
    <w:rsid w:val="00A72B64"/>
    <w:rsid w:val="00A85B0C"/>
    <w:rsid w:val="00A87AF6"/>
    <w:rsid w:val="00A973AF"/>
    <w:rsid w:val="00AA32BD"/>
    <w:rsid w:val="00AB2811"/>
    <w:rsid w:val="00AB71D0"/>
    <w:rsid w:val="00AC50D7"/>
    <w:rsid w:val="00AC73F3"/>
    <w:rsid w:val="00AD5865"/>
    <w:rsid w:val="00AE4B0B"/>
    <w:rsid w:val="00AE7F52"/>
    <w:rsid w:val="00B07D7D"/>
    <w:rsid w:val="00B13CF3"/>
    <w:rsid w:val="00B1726F"/>
    <w:rsid w:val="00B21320"/>
    <w:rsid w:val="00B2670F"/>
    <w:rsid w:val="00B27E5A"/>
    <w:rsid w:val="00B34422"/>
    <w:rsid w:val="00B374B3"/>
    <w:rsid w:val="00B4377C"/>
    <w:rsid w:val="00B471BE"/>
    <w:rsid w:val="00B52E8E"/>
    <w:rsid w:val="00B53481"/>
    <w:rsid w:val="00B55EFF"/>
    <w:rsid w:val="00B615E5"/>
    <w:rsid w:val="00B65D46"/>
    <w:rsid w:val="00B86C8D"/>
    <w:rsid w:val="00B9104F"/>
    <w:rsid w:val="00B9113B"/>
    <w:rsid w:val="00B93384"/>
    <w:rsid w:val="00BA5552"/>
    <w:rsid w:val="00BB065A"/>
    <w:rsid w:val="00BB1454"/>
    <w:rsid w:val="00BB5934"/>
    <w:rsid w:val="00BB6990"/>
    <w:rsid w:val="00BC5603"/>
    <w:rsid w:val="00BD39DA"/>
    <w:rsid w:val="00BD7BBE"/>
    <w:rsid w:val="00BE6F7E"/>
    <w:rsid w:val="00BE7E3D"/>
    <w:rsid w:val="00BF23E6"/>
    <w:rsid w:val="00BF2589"/>
    <w:rsid w:val="00BF61B9"/>
    <w:rsid w:val="00BF77BF"/>
    <w:rsid w:val="00C02187"/>
    <w:rsid w:val="00C05E8A"/>
    <w:rsid w:val="00C11402"/>
    <w:rsid w:val="00C2096B"/>
    <w:rsid w:val="00C336D3"/>
    <w:rsid w:val="00C458F3"/>
    <w:rsid w:val="00C573BC"/>
    <w:rsid w:val="00C6571E"/>
    <w:rsid w:val="00C70287"/>
    <w:rsid w:val="00C7260E"/>
    <w:rsid w:val="00C748E4"/>
    <w:rsid w:val="00C75715"/>
    <w:rsid w:val="00C80180"/>
    <w:rsid w:val="00C8237A"/>
    <w:rsid w:val="00C82B6C"/>
    <w:rsid w:val="00CA6F1C"/>
    <w:rsid w:val="00CA767E"/>
    <w:rsid w:val="00CB64D2"/>
    <w:rsid w:val="00CC2ADA"/>
    <w:rsid w:val="00CE3C4D"/>
    <w:rsid w:val="00CE50D2"/>
    <w:rsid w:val="00CF5A81"/>
    <w:rsid w:val="00CF7038"/>
    <w:rsid w:val="00D03EB0"/>
    <w:rsid w:val="00D040F0"/>
    <w:rsid w:val="00D07401"/>
    <w:rsid w:val="00D079B3"/>
    <w:rsid w:val="00D11ECB"/>
    <w:rsid w:val="00D272FC"/>
    <w:rsid w:val="00D3163C"/>
    <w:rsid w:val="00D317CB"/>
    <w:rsid w:val="00D35981"/>
    <w:rsid w:val="00D35BCE"/>
    <w:rsid w:val="00D414DA"/>
    <w:rsid w:val="00D47B6B"/>
    <w:rsid w:val="00D57046"/>
    <w:rsid w:val="00D604C1"/>
    <w:rsid w:val="00D669B1"/>
    <w:rsid w:val="00D67C81"/>
    <w:rsid w:val="00D732A3"/>
    <w:rsid w:val="00D74478"/>
    <w:rsid w:val="00D817B6"/>
    <w:rsid w:val="00D849FB"/>
    <w:rsid w:val="00D87787"/>
    <w:rsid w:val="00D87B42"/>
    <w:rsid w:val="00D90CD9"/>
    <w:rsid w:val="00D95C6D"/>
    <w:rsid w:val="00D9753E"/>
    <w:rsid w:val="00DB7741"/>
    <w:rsid w:val="00DB79FB"/>
    <w:rsid w:val="00DC0587"/>
    <w:rsid w:val="00DD4985"/>
    <w:rsid w:val="00DE0C96"/>
    <w:rsid w:val="00E042E5"/>
    <w:rsid w:val="00E05B54"/>
    <w:rsid w:val="00E23ED6"/>
    <w:rsid w:val="00E30DBF"/>
    <w:rsid w:val="00E452BD"/>
    <w:rsid w:val="00E532E1"/>
    <w:rsid w:val="00E57236"/>
    <w:rsid w:val="00E57705"/>
    <w:rsid w:val="00E66CF6"/>
    <w:rsid w:val="00E74F12"/>
    <w:rsid w:val="00E81C93"/>
    <w:rsid w:val="00E86D56"/>
    <w:rsid w:val="00E87BD2"/>
    <w:rsid w:val="00E92660"/>
    <w:rsid w:val="00EA365B"/>
    <w:rsid w:val="00EA79D4"/>
    <w:rsid w:val="00EB10E0"/>
    <w:rsid w:val="00EC18D0"/>
    <w:rsid w:val="00ED0762"/>
    <w:rsid w:val="00ED0E00"/>
    <w:rsid w:val="00EE13B1"/>
    <w:rsid w:val="00EE67EB"/>
    <w:rsid w:val="00EE6F41"/>
    <w:rsid w:val="00EF3550"/>
    <w:rsid w:val="00EF521C"/>
    <w:rsid w:val="00EF6DE3"/>
    <w:rsid w:val="00EF734B"/>
    <w:rsid w:val="00F052DC"/>
    <w:rsid w:val="00F110B6"/>
    <w:rsid w:val="00F155E8"/>
    <w:rsid w:val="00F16B52"/>
    <w:rsid w:val="00F22A00"/>
    <w:rsid w:val="00F35100"/>
    <w:rsid w:val="00F37B2D"/>
    <w:rsid w:val="00F5515E"/>
    <w:rsid w:val="00F6030C"/>
    <w:rsid w:val="00F62C3A"/>
    <w:rsid w:val="00F63D0A"/>
    <w:rsid w:val="00F66668"/>
    <w:rsid w:val="00F66E54"/>
    <w:rsid w:val="00F72603"/>
    <w:rsid w:val="00F9079F"/>
    <w:rsid w:val="00F968C9"/>
    <w:rsid w:val="00FA2EEA"/>
    <w:rsid w:val="00FA5B42"/>
    <w:rsid w:val="00FA5EB4"/>
    <w:rsid w:val="00FA753F"/>
    <w:rsid w:val="00FB44C3"/>
    <w:rsid w:val="00FB4A15"/>
    <w:rsid w:val="00FC4C86"/>
    <w:rsid w:val="00FC5B00"/>
    <w:rsid w:val="00FE65DA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ED95-13D2-4EDC-BF5B-62D35DD6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7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ia.com/2015/06/30/sociedad/euskadi/la-y-vasca-recibe-un-empujon-de-la-ue-de-523-millo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guy de barbeyrac</cp:lastModifiedBy>
  <cp:revision>2</cp:revision>
  <dcterms:created xsi:type="dcterms:W3CDTF">2015-07-02T16:36:00Z</dcterms:created>
  <dcterms:modified xsi:type="dcterms:W3CDTF">2015-07-02T16:36:00Z</dcterms:modified>
</cp:coreProperties>
</file>