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4C" w:rsidRDefault="0084664C" w:rsidP="0084664C">
      <w:pPr>
        <w:jc w:val="center"/>
        <w:rPr>
          <w:b/>
          <w:sz w:val="36"/>
          <w:szCs w:val="36"/>
        </w:rPr>
      </w:pPr>
      <w:bookmarkStart w:id="0" w:name="_GoBack"/>
      <w:bookmarkEnd w:id="0"/>
      <w:r w:rsidRPr="0084664C">
        <w:rPr>
          <w:b/>
          <w:sz w:val="36"/>
          <w:szCs w:val="36"/>
        </w:rPr>
        <w:t>La LGV GPSO</w:t>
      </w:r>
      <w:r w:rsidR="00287859">
        <w:rPr>
          <w:rStyle w:val="Appelnotedebasdep"/>
          <w:b/>
          <w:sz w:val="36"/>
          <w:szCs w:val="36"/>
        </w:rPr>
        <w:footnoteReference w:id="1"/>
      </w:r>
      <w:r w:rsidRPr="0084664C">
        <w:rPr>
          <w:b/>
          <w:sz w:val="36"/>
          <w:szCs w:val="36"/>
        </w:rPr>
        <w:t xml:space="preserve"> ou « la Comédie du Pouvoir »</w:t>
      </w:r>
    </w:p>
    <w:p w:rsidR="00E834C2" w:rsidRPr="00E834C2" w:rsidRDefault="00E834C2" w:rsidP="0084664C">
      <w:pPr>
        <w:jc w:val="center"/>
        <w:rPr>
          <w:b/>
          <w:sz w:val="28"/>
          <w:szCs w:val="28"/>
        </w:rPr>
      </w:pPr>
      <w:r w:rsidRPr="00E834C2">
        <w:rPr>
          <w:b/>
          <w:sz w:val="28"/>
          <w:szCs w:val="28"/>
        </w:rPr>
        <w:t xml:space="preserve">Par Pierre </w:t>
      </w:r>
      <w:proofErr w:type="spellStart"/>
      <w:r w:rsidRPr="00E834C2">
        <w:rPr>
          <w:b/>
          <w:sz w:val="28"/>
          <w:szCs w:val="28"/>
        </w:rPr>
        <w:t>Recarte</w:t>
      </w:r>
      <w:proofErr w:type="spellEnd"/>
      <w:r w:rsidRPr="00E834C2">
        <w:rPr>
          <w:b/>
          <w:sz w:val="28"/>
          <w:szCs w:val="28"/>
        </w:rPr>
        <w:t xml:space="preserve"> vice-président du CADE</w:t>
      </w:r>
    </w:p>
    <w:p w:rsidR="00D425BD" w:rsidRDefault="00D425BD" w:rsidP="00261857">
      <w:pPr>
        <w:jc w:val="both"/>
        <w:rPr>
          <w:sz w:val="28"/>
          <w:szCs w:val="28"/>
        </w:rPr>
      </w:pPr>
      <w:r w:rsidRPr="00D425BD">
        <w:rPr>
          <w:sz w:val="28"/>
          <w:szCs w:val="28"/>
        </w:rPr>
        <w:t>L’enquête publique sur le GPSO Bordeaux</w:t>
      </w:r>
      <w:r>
        <w:rPr>
          <w:sz w:val="28"/>
          <w:szCs w:val="28"/>
        </w:rPr>
        <w:t>-</w:t>
      </w:r>
      <w:r w:rsidRPr="00D425BD">
        <w:rPr>
          <w:sz w:val="28"/>
          <w:szCs w:val="28"/>
        </w:rPr>
        <w:t>Toulouse et Bordeaux-Dax</w:t>
      </w:r>
      <w:r>
        <w:rPr>
          <w:sz w:val="28"/>
          <w:szCs w:val="28"/>
        </w:rPr>
        <w:t xml:space="preserve"> s’est achevée, le rideau est tombé. Le verdict aussi. </w:t>
      </w:r>
    </w:p>
    <w:p w:rsidR="00D425BD" w:rsidRDefault="00D425BD" w:rsidP="00261857">
      <w:pPr>
        <w:jc w:val="both"/>
        <w:rPr>
          <w:sz w:val="28"/>
          <w:szCs w:val="28"/>
        </w:rPr>
      </w:pPr>
      <w:r>
        <w:rPr>
          <w:sz w:val="28"/>
          <w:szCs w:val="28"/>
        </w:rPr>
        <w:t xml:space="preserve">C’est un cinglant avis défavorable. Cinglant mais aussi exceptionnel. </w:t>
      </w:r>
    </w:p>
    <w:p w:rsidR="009646F7" w:rsidRPr="009646F7" w:rsidRDefault="009646F7" w:rsidP="00261857">
      <w:pPr>
        <w:jc w:val="both"/>
        <w:rPr>
          <w:b/>
          <w:sz w:val="28"/>
          <w:szCs w:val="28"/>
        </w:rPr>
      </w:pPr>
      <w:r w:rsidRPr="009646F7">
        <w:rPr>
          <w:b/>
          <w:sz w:val="28"/>
          <w:szCs w:val="28"/>
        </w:rPr>
        <w:t>Un rare désaveu</w:t>
      </w:r>
    </w:p>
    <w:p w:rsidR="00D425BD" w:rsidRDefault="00D425BD" w:rsidP="00261857">
      <w:pPr>
        <w:jc w:val="both"/>
        <w:rPr>
          <w:sz w:val="28"/>
          <w:szCs w:val="28"/>
        </w:rPr>
      </w:pPr>
      <w:r>
        <w:rPr>
          <w:sz w:val="28"/>
          <w:szCs w:val="28"/>
        </w:rPr>
        <w:t xml:space="preserve">Pour la première fois des commissaires enquêteurs osent donner un avis défavorable sur la construction d’une infrastructure ferroviaire à grande vitesse. Du jamais vu. </w:t>
      </w:r>
      <w:r w:rsidR="005848AF">
        <w:rPr>
          <w:sz w:val="28"/>
          <w:szCs w:val="28"/>
        </w:rPr>
        <w:t xml:space="preserve">Même </w:t>
      </w:r>
      <w:r w:rsidR="00261857">
        <w:rPr>
          <w:sz w:val="28"/>
          <w:szCs w:val="28"/>
        </w:rPr>
        <w:t xml:space="preserve">sur </w:t>
      </w:r>
      <w:r w:rsidR="00912E1E">
        <w:rPr>
          <w:sz w:val="28"/>
          <w:szCs w:val="28"/>
        </w:rPr>
        <w:t xml:space="preserve">la très controversée </w:t>
      </w:r>
      <w:r w:rsidR="005848AF">
        <w:rPr>
          <w:sz w:val="28"/>
          <w:szCs w:val="28"/>
        </w:rPr>
        <w:t>LGV Poitiers-Limoges</w:t>
      </w:r>
      <w:r w:rsidR="00261857">
        <w:rPr>
          <w:sz w:val="28"/>
          <w:szCs w:val="28"/>
        </w:rPr>
        <w:t xml:space="preserve">, les enquêteurs sont passés outre </w:t>
      </w:r>
      <w:r w:rsidR="00787223">
        <w:rPr>
          <w:sz w:val="28"/>
          <w:szCs w:val="28"/>
        </w:rPr>
        <w:t xml:space="preserve">les </w:t>
      </w:r>
      <w:r w:rsidR="00261857">
        <w:rPr>
          <w:sz w:val="28"/>
          <w:szCs w:val="28"/>
        </w:rPr>
        <w:t>avis négatif</w:t>
      </w:r>
      <w:r w:rsidR="00787223">
        <w:rPr>
          <w:sz w:val="28"/>
          <w:szCs w:val="28"/>
        </w:rPr>
        <w:t>s</w:t>
      </w:r>
      <w:r w:rsidR="00261857">
        <w:rPr>
          <w:sz w:val="28"/>
          <w:szCs w:val="28"/>
        </w:rPr>
        <w:t xml:space="preserve"> de la commission Mobilité 21</w:t>
      </w:r>
      <w:r w:rsidR="00787223">
        <w:rPr>
          <w:sz w:val="28"/>
          <w:szCs w:val="28"/>
        </w:rPr>
        <w:t xml:space="preserve"> et de la Cour des comptes</w:t>
      </w:r>
      <w:r w:rsidR="00912E1E">
        <w:rPr>
          <w:sz w:val="28"/>
          <w:szCs w:val="28"/>
        </w:rPr>
        <w:t xml:space="preserve"> pour entériner ce </w:t>
      </w:r>
      <w:proofErr w:type="spellStart"/>
      <w:r w:rsidR="00912E1E">
        <w:rPr>
          <w:sz w:val="28"/>
          <w:szCs w:val="28"/>
        </w:rPr>
        <w:t>projet.</w:t>
      </w:r>
      <w:r>
        <w:rPr>
          <w:sz w:val="28"/>
          <w:szCs w:val="28"/>
        </w:rPr>
        <w:t>En</w:t>
      </w:r>
      <w:proofErr w:type="spellEnd"/>
      <w:r>
        <w:rPr>
          <w:sz w:val="28"/>
          <w:szCs w:val="28"/>
        </w:rPr>
        <w:t xml:space="preserve"> matière d’infrastructures routières quelques rares enquêtes publiques se sont conclues sur un avis négatif. Ainsi en est-il d</w:t>
      </w:r>
      <w:r w:rsidR="00912E1E">
        <w:rPr>
          <w:sz w:val="28"/>
          <w:szCs w:val="28"/>
        </w:rPr>
        <w:t>es mises en chantier du</w:t>
      </w:r>
      <w:r>
        <w:rPr>
          <w:sz w:val="28"/>
          <w:szCs w:val="28"/>
        </w:rPr>
        <w:t xml:space="preserve"> dédoublement de l’autoroute A9 au droit de Montpellier en 2006, de la liaison A89/A6 en 2008 ou de la rocade nord</w:t>
      </w:r>
      <w:r w:rsidR="005848AF">
        <w:rPr>
          <w:sz w:val="28"/>
          <w:szCs w:val="28"/>
        </w:rPr>
        <w:t xml:space="preserve"> de Grenoble en juin 2010</w:t>
      </w:r>
      <w:r w:rsidR="00261857">
        <w:rPr>
          <w:sz w:val="28"/>
          <w:szCs w:val="28"/>
        </w:rPr>
        <w:t>.</w:t>
      </w:r>
    </w:p>
    <w:p w:rsidR="001F3CE9" w:rsidRPr="00787223" w:rsidRDefault="00261857" w:rsidP="00787223">
      <w:pPr>
        <w:jc w:val="both"/>
        <w:rPr>
          <w:sz w:val="28"/>
          <w:szCs w:val="28"/>
        </w:rPr>
      </w:pPr>
      <w:r>
        <w:rPr>
          <w:sz w:val="28"/>
          <w:szCs w:val="28"/>
        </w:rPr>
        <w:t>On estime que seuls 1,5% des commissaires enquêteurs ont désavoué une fois un projet</w:t>
      </w:r>
      <w:r w:rsidR="009646F7">
        <w:rPr>
          <w:rStyle w:val="Appelnotedebasdep"/>
          <w:sz w:val="28"/>
          <w:szCs w:val="28"/>
        </w:rPr>
        <w:footnoteReference w:id="2"/>
      </w:r>
      <w:r>
        <w:rPr>
          <w:sz w:val="28"/>
          <w:szCs w:val="28"/>
        </w:rPr>
        <w:t>.</w:t>
      </w:r>
    </w:p>
    <w:p w:rsidR="0026597B" w:rsidRDefault="00EF22BF">
      <w:pPr>
        <w:rPr>
          <w:b/>
          <w:sz w:val="28"/>
          <w:szCs w:val="28"/>
        </w:rPr>
      </w:pPr>
      <w:r w:rsidRPr="00EF22BF">
        <w:rPr>
          <w:b/>
          <w:sz w:val="28"/>
          <w:szCs w:val="28"/>
        </w:rPr>
        <w:t>Un avis consultatif</w:t>
      </w:r>
    </w:p>
    <w:p w:rsidR="00ED0556" w:rsidRDefault="00931C7E" w:rsidP="00ED0556">
      <w:pPr>
        <w:jc w:val="both"/>
        <w:rPr>
          <w:sz w:val="28"/>
          <w:szCs w:val="28"/>
        </w:rPr>
      </w:pPr>
      <w:r w:rsidRPr="00ED0556">
        <w:rPr>
          <w:sz w:val="28"/>
          <w:szCs w:val="28"/>
        </w:rPr>
        <w:t xml:space="preserve">Les grands élus qui portent </w:t>
      </w:r>
      <w:r w:rsidR="00912E1E">
        <w:rPr>
          <w:sz w:val="28"/>
          <w:szCs w:val="28"/>
        </w:rPr>
        <w:t>le GPSO</w:t>
      </w:r>
      <w:r w:rsidRPr="00ED0556">
        <w:rPr>
          <w:sz w:val="28"/>
          <w:szCs w:val="28"/>
        </w:rPr>
        <w:t xml:space="preserve"> s’empressent de rappeler que cet avis n’est que consultatif. Ainsi fonctionne notre démocratie, l’avis des citoyens est sollicité mais s’il est contraire à celui des décideurs, </w:t>
      </w:r>
      <w:proofErr w:type="spellStart"/>
      <w:r w:rsidRPr="00ED0556">
        <w:rPr>
          <w:sz w:val="28"/>
          <w:szCs w:val="28"/>
        </w:rPr>
        <w:t>on</w:t>
      </w:r>
      <w:r w:rsidR="00287859">
        <w:rPr>
          <w:sz w:val="28"/>
          <w:szCs w:val="28"/>
        </w:rPr>
        <w:t>n’en</w:t>
      </w:r>
      <w:proofErr w:type="spellEnd"/>
      <w:r w:rsidR="00287859">
        <w:rPr>
          <w:sz w:val="28"/>
          <w:szCs w:val="28"/>
        </w:rPr>
        <w:t xml:space="preserve"> tient pas compte.</w:t>
      </w:r>
    </w:p>
    <w:p w:rsidR="00931C7E" w:rsidRPr="00ED0556" w:rsidRDefault="00931C7E" w:rsidP="00ED0556">
      <w:pPr>
        <w:jc w:val="both"/>
        <w:rPr>
          <w:sz w:val="28"/>
          <w:szCs w:val="28"/>
        </w:rPr>
      </w:pPr>
      <w:r w:rsidRPr="00ED0556">
        <w:rPr>
          <w:sz w:val="28"/>
          <w:szCs w:val="28"/>
        </w:rPr>
        <w:t>Avec la plus grande hypocrisie, le gouvernement par l’entremise de Ségolène Royal met en place « la démocratie participative »</w:t>
      </w:r>
      <w:r w:rsidR="00287859">
        <w:rPr>
          <w:sz w:val="28"/>
          <w:szCs w:val="28"/>
        </w:rPr>
        <w:t>,</w:t>
      </w:r>
      <w:r w:rsidRPr="00ED0556">
        <w:rPr>
          <w:sz w:val="28"/>
          <w:szCs w:val="28"/>
        </w:rPr>
        <w:t xml:space="preserve"> un grand décor en trompe l’œil destiné à donner  aux citoyens </w:t>
      </w:r>
      <w:r w:rsidR="00ED0556" w:rsidRPr="00ED0556">
        <w:rPr>
          <w:sz w:val="28"/>
          <w:szCs w:val="28"/>
        </w:rPr>
        <w:t xml:space="preserve">l’illusion </w:t>
      </w:r>
      <w:r w:rsidRPr="00ED0556">
        <w:rPr>
          <w:sz w:val="28"/>
          <w:szCs w:val="28"/>
        </w:rPr>
        <w:t>q</w:t>
      </w:r>
      <w:r w:rsidR="00ED0556" w:rsidRPr="00ED0556">
        <w:rPr>
          <w:sz w:val="28"/>
          <w:szCs w:val="28"/>
        </w:rPr>
        <w:t xml:space="preserve">ue leur avis </w:t>
      </w:r>
      <w:r w:rsidR="00287859">
        <w:rPr>
          <w:sz w:val="28"/>
          <w:szCs w:val="28"/>
        </w:rPr>
        <w:t xml:space="preserve">est respecté </w:t>
      </w:r>
      <w:r w:rsidR="00ED0556" w:rsidRPr="00ED0556">
        <w:rPr>
          <w:sz w:val="28"/>
          <w:szCs w:val="28"/>
        </w:rPr>
        <w:t>dans le processus décisionnel.</w:t>
      </w:r>
    </w:p>
    <w:p w:rsidR="00ED0556" w:rsidRDefault="00ED0556" w:rsidP="00ED0556">
      <w:pPr>
        <w:jc w:val="both"/>
        <w:rPr>
          <w:sz w:val="28"/>
          <w:szCs w:val="28"/>
        </w:rPr>
      </w:pPr>
      <w:r w:rsidRPr="00ED0556">
        <w:rPr>
          <w:sz w:val="28"/>
          <w:szCs w:val="28"/>
        </w:rPr>
        <w:t>Le gouvernement est dans l’attente « des observations du porteur du projet</w:t>
      </w:r>
      <w:r>
        <w:rPr>
          <w:sz w:val="28"/>
          <w:szCs w:val="28"/>
        </w:rPr>
        <w:t> »</w:t>
      </w:r>
      <w:r w:rsidRPr="00ED0556">
        <w:rPr>
          <w:sz w:val="28"/>
          <w:szCs w:val="28"/>
        </w:rPr>
        <w:t xml:space="preserve">, </w:t>
      </w:r>
      <w:r w:rsidR="00787223">
        <w:rPr>
          <w:sz w:val="28"/>
          <w:szCs w:val="28"/>
        </w:rPr>
        <w:t>(</w:t>
      </w:r>
      <w:r w:rsidRPr="00ED0556">
        <w:rPr>
          <w:sz w:val="28"/>
          <w:szCs w:val="28"/>
        </w:rPr>
        <w:t>RFF, aujourd’</w:t>
      </w:r>
      <w:r>
        <w:rPr>
          <w:sz w:val="28"/>
          <w:szCs w:val="28"/>
        </w:rPr>
        <w:t>hui SNCF Réseau</w:t>
      </w:r>
      <w:r w:rsidR="00787223">
        <w:rPr>
          <w:sz w:val="28"/>
          <w:szCs w:val="28"/>
        </w:rPr>
        <w:t>)</w:t>
      </w:r>
      <w:r>
        <w:rPr>
          <w:sz w:val="28"/>
          <w:szCs w:val="28"/>
        </w:rPr>
        <w:t xml:space="preserve"> avant de prendre sa décision. </w:t>
      </w:r>
    </w:p>
    <w:p w:rsidR="0038570F" w:rsidRDefault="00ED0556" w:rsidP="00F20924">
      <w:pPr>
        <w:jc w:val="both"/>
        <w:rPr>
          <w:sz w:val="28"/>
          <w:szCs w:val="28"/>
        </w:rPr>
      </w:pPr>
      <w:r w:rsidRPr="009F4A62">
        <w:rPr>
          <w:sz w:val="28"/>
          <w:szCs w:val="28"/>
        </w:rPr>
        <w:t xml:space="preserve">Comment </w:t>
      </w:r>
      <w:proofErr w:type="spellStart"/>
      <w:r w:rsidR="009F4A62" w:rsidRPr="009F4A62">
        <w:rPr>
          <w:sz w:val="28"/>
          <w:szCs w:val="28"/>
        </w:rPr>
        <w:t>RFF</w:t>
      </w:r>
      <w:r w:rsidR="0038570F">
        <w:rPr>
          <w:sz w:val="28"/>
          <w:szCs w:val="28"/>
        </w:rPr>
        <w:t>peut</w:t>
      </w:r>
      <w:r w:rsidRPr="009F4A62">
        <w:rPr>
          <w:sz w:val="28"/>
          <w:szCs w:val="28"/>
        </w:rPr>
        <w:t>-</w:t>
      </w:r>
      <w:r w:rsidR="009F4A62" w:rsidRPr="009F4A62">
        <w:rPr>
          <w:sz w:val="28"/>
          <w:szCs w:val="28"/>
        </w:rPr>
        <w:t>ilrépondre</w:t>
      </w:r>
      <w:proofErr w:type="spellEnd"/>
      <w:r w:rsidR="009F4A62" w:rsidRPr="009F4A62">
        <w:rPr>
          <w:sz w:val="28"/>
          <w:szCs w:val="28"/>
        </w:rPr>
        <w:t xml:space="preserve"> aux conclusions accablantes de la commission d’enquête : gain de temps « </w:t>
      </w:r>
      <w:r w:rsidR="00F20924">
        <w:rPr>
          <w:sz w:val="28"/>
          <w:szCs w:val="28"/>
        </w:rPr>
        <w:t>peu probant » sur Bordeaux-Dax</w:t>
      </w:r>
      <w:r w:rsidR="009F4A62" w:rsidRPr="009F4A62">
        <w:rPr>
          <w:sz w:val="28"/>
          <w:szCs w:val="28"/>
        </w:rPr>
        <w:t>, «  impacts sur l’environnement insuffisamment pris en compte », « rentabilité socio-</w:t>
      </w:r>
      <w:r w:rsidR="009F4A62" w:rsidRPr="009F4A62">
        <w:rPr>
          <w:sz w:val="28"/>
          <w:szCs w:val="28"/>
        </w:rPr>
        <w:lastRenderedPageBreak/>
        <w:t>économique insuffisante », « financement public incertain », « faible acceptabilité sociale », « alternatives à la grande vitesse insuffisamment explorées </w:t>
      </w:r>
      <w:r w:rsidR="009F4A62" w:rsidRPr="009F4A62">
        <w:rPr>
          <w:rFonts w:ascii="Times New Roman" w:eastAsia="Times New Roman" w:hAnsi="Times New Roman" w:cs="Times New Roman"/>
          <w:sz w:val="28"/>
          <w:szCs w:val="28"/>
          <w:lang w:eastAsia="fr-FR"/>
        </w:rPr>
        <w:t>avec</w:t>
      </w:r>
      <w:r w:rsidR="009F4A62" w:rsidRPr="00E2769A">
        <w:rPr>
          <w:rFonts w:ascii="Times New Roman" w:eastAsia="Times New Roman" w:hAnsi="Times New Roman" w:cs="Times New Roman"/>
          <w:sz w:val="28"/>
          <w:szCs w:val="28"/>
          <w:lang w:eastAsia="fr-FR"/>
        </w:rPr>
        <w:t xml:space="preserve"> précision et réalisme </w:t>
      </w:r>
      <w:r w:rsidR="009F4A62" w:rsidRPr="009F4A62">
        <w:rPr>
          <w:sz w:val="28"/>
          <w:szCs w:val="28"/>
        </w:rPr>
        <w:t>»</w:t>
      </w:r>
      <w:r w:rsidR="009F4A62">
        <w:rPr>
          <w:sz w:val="28"/>
          <w:szCs w:val="28"/>
        </w:rPr>
        <w:t xml:space="preserve"> ? </w:t>
      </w:r>
    </w:p>
    <w:p w:rsidR="0038570F" w:rsidRDefault="009F4A62" w:rsidP="00F20924">
      <w:pPr>
        <w:jc w:val="both"/>
        <w:rPr>
          <w:sz w:val="28"/>
          <w:szCs w:val="28"/>
        </w:rPr>
      </w:pPr>
      <w:r>
        <w:rPr>
          <w:sz w:val="28"/>
          <w:szCs w:val="28"/>
        </w:rPr>
        <w:t>Comment prouver l’intérêt économique</w:t>
      </w:r>
      <w:r w:rsidR="0038570F">
        <w:rPr>
          <w:sz w:val="28"/>
          <w:szCs w:val="28"/>
        </w:rPr>
        <w:t xml:space="preserve"> d</w:t>
      </w:r>
      <w:r w:rsidR="00287859">
        <w:rPr>
          <w:sz w:val="28"/>
          <w:szCs w:val="28"/>
        </w:rPr>
        <w:t>’</w:t>
      </w:r>
      <w:r w:rsidR="0038570F">
        <w:rPr>
          <w:sz w:val="28"/>
          <w:szCs w:val="28"/>
        </w:rPr>
        <w:t>u</w:t>
      </w:r>
      <w:r w:rsidR="00287859">
        <w:rPr>
          <w:sz w:val="28"/>
          <w:szCs w:val="28"/>
        </w:rPr>
        <w:t>n</w:t>
      </w:r>
      <w:r w:rsidR="0038570F">
        <w:rPr>
          <w:sz w:val="28"/>
          <w:szCs w:val="28"/>
        </w:rPr>
        <w:t xml:space="preserve"> projet jugé par les enquêteurs « modeste au plan régional et faible au plan national » et </w:t>
      </w:r>
      <w:r w:rsidR="0038570F" w:rsidRPr="0038570F">
        <w:rPr>
          <w:sz w:val="28"/>
          <w:szCs w:val="28"/>
        </w:rPr>
        <w:t>« peu pertinent compte tenu de la hauteur de l’invest</w:t>
      </w:r>
      <w:r w:rsidR="0038570F">
        <w:rPr>
          <w:sz w:val="28"/>
          <w:szCs w:val="28"/>
        </w:rPr>
        <w:t xml:space="preserve">issement et du service supposé </w:t>
      </w:r>
      <w:r w:rsidR="0038570F" w:rsidRPr="0038570F">
        <w:rPr>
          <w:sz w:val="28"/>
          <w:szCs w:val="28"/>
        </w:rPr>
        <w:t>»</w:t>
      </w:r>
      <w:r w:rsidR="0038570F">
        <w:rPr>
          <w:sz w:val="28"/>
          <w:szCs w:val="28"/>
        </w:rPr>
        <w:t> ?</w:t>
      </w:r>
    </w:p>
    <w:p w:rsidR="0038570F" w:rsidRDefault="0038570F" w:rsidP="00FF66D8">
      <w:pPr>
        <w:jc w:val="both"/>
        <w:rPr>
          <w:sz w:val="28"/>
          <w:szCs w:val="28"/>
        </w:rPr>
      </w:pPr>
      <w:r w:rsidRPr="00FF66D8">
        <w:rPr>
          <w:sz w:val="28"/>
          <w:szCs w:val="28"/>
        </w:rPr>
        <w:t xml:space="preserve">Comment continuer à estimer que les impacts sur la biodiversité, après réduction et compensation, seront « faibles à négligeables » alors que la commission les juge </w:t>
      </w:r>
      <w:r w:rsidRPr="00287859">
        <w:rPr>
          <w:sz w:val="28"/>
          <w:szCs w:val="28"/>
        </w:rPr>
        <w:t>plus importants</w:t>
      </w:r>
      <w:r w:rsidRPr="00FF66D8">
        <w:rPr>
          <w:sz w:val="28"/>
          <w:szCs w:val="28"/>
        </w:rPr>
        <w:t xml:space="preserve">, </w:t>
      </w:r>
      <w:proofErr w:type="spellStart"/>
      <w:r w:rsidRPr="00FF66D8">
        <w:rPr>
          <w:sz w:val="28"/>
          <w:szCs w:val="28"/>
        </w:rPr>
        <w:t>quela</w:t>
      </w:r>
      <w:proofErr w:type="spellEnd"/>
      <w:r w:rsidRPr="00FF66D8">
        <w:rPr>
          <w:sz w:val="28"/>
          <w:szCs w:val="28"/>
        </w:rPr>
        <w:t xml:space="preserve"> réduction des émissions de gaz à effet de serre </w:t>
      </w:r>
      <w:r w:rsidR="00FF66D8" w:rsidRPr="00FF66D8">
        <w:rPr>
          <w:sz w:val="28"/>
          <w:szCs w:val="28"/>
        </w:rPr>
        <w:t xml:space="preserve">sera </w:t>
      </w:r>
      <w:r w:rsidR="00287859">
        <w:rPr>
          <w:sz w:val="28"/>
          <w:szCs w:val="28"/>
        </w:rPr>
        <w:t>significative</w:t>
      </w:r>
      <w:r w:rsidR="00FF66D8" w:rsidRPr="00FF66D8">
        <w:rPr>
          <w:sz w:val="28"/>
          <w:szCs w:val="28"/>
        </w:rPr>
        <w:t xml:space="preserve"> alors qu’elle est estimée à </w:t>
      </w:r>
      <w:r w:rsidRPr="00FF66D8">
        <w:rPr>
          <w:sz w:val="28"/>
          <w:szCs w:val="28"/>
        </w:rPr>
        <w:t xml:space="preserve"> « moins de 0,072% de l’ense</w:t>
      </w:r>
      <w:r w:rsidR="00FF66D8" w:rsidRPr="00FF66D8">
        <w:rPr>
          <w:sz w:val="28"/>
          <w:szCs w:val="28"/>
        </w:rPr>
        <w:t>mble des émissions nationales » ?</w:t>
      </w:r>
    </w:p>
    <w:p w:rsidR="00FB168B" w:rsidRDefault="00FB168B" w:rsidP="00FF66D8">
      <w:pPr>
        <w:jc w:val="both"/>
        <w:rPr>
          <w:b/>
          <w:sz w:val="28"/>
          <w:szCs w:val="28"/>
        </w:rPr>
      </w:pPr>
      <w:r w:rsidRPr="00FB168B">
        <w:rPr>
          <w:b/>
          <w:sz w:val="28"/>
          <w:szCs w:val="28"/>
        </w:rPr>
        <w:t>Une décision déjà prise</w:t>
      </w:r>
    </w:p>
    <w:p w:rsidR="00FB168B" w:rsidRDefault="00FB168B" w:rsidP="00FF66D8">
      <w:pPr>
        <w:jc w:val="both"/>
        <w:rPr>
          <w:sz w:val="28"/>
          <w:szCs w:val="28"/>
        </w:rPr>
      </w:pPr>
      <w:r w:rsidRPr="00FB168B">
        <w:rPr>
          <w:sz w:val="28"/>
          <w:szCs w:val="28"/>
        </w:rPr>
        <w:t>Ce ne sont</w:t>
      </w:r>
      <w:r>
        <w:rPr>
          <w:sz w:val="28"/>
          <w:szCs w:val="28"/>
        </w:rPr>
        <w:t xml:space="preserve"> pas la teneur et la pertinence des</w:t>
      </w:r>
      <w:r w:rsidR="00F20924">
        <w:rPr>
          <w:sz w:val="28"/>
          <w:szCs w:val="28"/>
        </w:rPr>
        <w:t> « </w:t>
      </w:r>
      <w:r>
        <w:rPr>
          <w:sz w:val="28"/>
          <w:szCs w:val="28"/>
        </w:rPr>
        <w:t>observations » de SNCF Réseau qui modifieront la donne. Il y a fort à parier que la décision est déjà prise. La date en est  fixée. Ce sera avant la fin de l’été. Sûrement pour profiter du climat d’insouciance et éviter les vents de la contestation. Le gouvernement aura ainsi céder à l’insupportable interventionnisme de « nos grands féodaux aquitains ».</w:t>
      </w:r>
    </w:p>
    <w:p w:rsidR="00FB168B" w:rsidRDefault="00FB168B" w:rsidP="00FF66D8">
      <w:pPr>
        <w:jc w:val="both"/>
        <w:rPr>
          <w:sz w:val="28"/>
          <w:szCs w:val="28"/>
        </w:rPr>
      </w:pPr>
      <w:r>
        <w:rPr>
          <w:sz w:val="28"/>
          <w:szCs w:val="28"/>
        </w:rPr>
        <w:t xml:space="preserve">Après s’être affranchi des conclusions des assises du ferroviaire, des rapports Bianco et </w:t>
      </w:r>
      <w:proofErr w:type="spellStart"/>
      <w:r>
        <w:rPr>
          <w:sz w:val="28"/>
          <w:szCs w:val="28"/>
        </w:rPr>
        <w:t>Auxiette</w:t>
      </w:r>
      <w:proofErr w:type="spellEnd"/>
      <w:r>
        <w:rPr>
          <w:sz w:val="28"/>
          <w:szCs w:val="28"/>
        </w:rPr>
        <w:t>, des recommandations de la commission Mobilité 21, des avertissements de la Cour des comptes, ce n’est pas un éventuel avis négatif du Conseil d’Etat qui arrêtera le gouvernement. La déclaration d’utilité publique de la LGV Poitiers-Limoges contre l’avis du Conseil d’Etat l’atteste.</w:t>
      </w:r>
    </w:p>
    <w:p w:rsidR="00FB168B" w:rsidRDefault="00FB168B" w:rsidP="00FF66D8">
      <w:pPr>
        <w:jc w:val="both"/>
        <w:rPr>
          <w:sz w:val="28"/>
          <w:szCs w:val="28"/>
        </w:rPr>
      </w:pPr>
      <w:r>
        <w:rPr>
          <w:sz w:val="28"/>
          <w:szCs w:val="28"/>
        </w:rPr>
        <w:t>Alors il ne restera plus aux opposants</w:t>
      </w:r>
      <w:r w:rsidR="0084664C">
        <w:rPr>
          <w:sz w:val="28"/>
          <w:szCs w:val="28"/>
        </w:rPr>
        <w:t xml:space="preserve"> que la rue et l’édification de ZAD (zones à défendre) pour dénoncer une démocratie bafouée.</w:t>
      </w:r>
    </w:p>
    <w:p w:rsidR="0084664C" w:rsidRDefault="0084664C" w:rsidP="00FF66D8">
      <w:pPr>
        <w:jc w:val="both"/>
        <w:rPr>
          <w:sz w:val="28"/>
          <w:szCs w:val="28"/>
        </w:rPr>
      </w:pPr>
      <w:r>
        <w:rPr>
          <w:sz w:val="28"/>
          <w:szCs w:val="28"/>
        </w:rPr>
        <w:t>Mais il se trouvera des ministres offusqués qui avec un cynisme à peine dissimulé déclareront : « ce projet a fait l’objet d’une large concertation, les opposants doivent respecter le jeu démocratique</w:t>
      </w:r>
      <w:r w:rsidR="00287859">
        <w:rPr>
          <w:sz w:val="28"/>
          <w:szCs w:val="28"/>
        </w:rPr>
        <w:t>…</w:t>
      </w:r>
      <w:r>
        <w:rPr>
          <w:sz w:val="28"/>
          <w:szCs w:val="28"/>
        </w:rPr>
        <w:t> »</w:t>
      </w:r>
    </w:p>
    <w:p w:rsidR="0084664C" w:rsidRPr="00FB168B" w:rsidRDefault="0084664C" w:rsidP="00FF66D8">
      <w:pPr>
        <w:jc w:val="both"/>
        <w:rPr>
          <w:sz w:val="28"/>
          <w:szCs w:val="28"/>
        </w:rPr>
      </w:pPr>
      <w:r>
        <w:rPr>
          <w:sz w:val="28"/>
          <w:szCs w:val="28"/>
        </w:rPr>
        <w:t>Ainsi pourrait s’achever le dernier acte de ce vaudeville sans cesse rejoué : « la Comédie du Pouvoir »</w:t>
      </w:r>
      <w:r w:rsidR="00E834C2">
        <w:rPr>
          <w:sz w:val="28"/>
          <w:szCs w:val="28"/>
        </w:rPr>
        <w:t xml:space="preserve">devant des citoyens qui se croyaient acteurs et ne sont que spectateurs. </w:t>
      </w:r>
    </w:p>
    <w:p w:rsidR="009F4A62" w:rsidRPr="009F4A62" w:rsidRDefault="009F4A62" w:rsidP="009F4A62">
      <w:pPr>
        <w:jc w:val="both"/>
        <w:rPr>
          <w:sz w:val="28"/>
          <w:szCs w:val="28"/>
        </w:rPr>
      </w:pPr>
    </w:p>
    <w:p w:rsidR="003864F9" w:rsidRPr="003864F9" w:rsidRDefault="003864F9">
      <w:pPr>
        <w:rPr>
          <w:b/>
        </w:rPr>
      </w:pPr>
    </w:p>
    <w:sectPr w:rsidR="003864F9" w:rsidRPr="003864F9" w:rsidSect="008010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F0" w:rsidRDefault="00B739F0" w:rsidP="009646F7">
      <w:pPr>
        <w:spacing w:after="0" w:line="240" w:lineRule="auto"/>
      </w:pPr>
      <w:r>
        <w:separator/>
      </w:r>
    </w:p>
  </w:endnote>
  <w:endnote w:type="continuationSeparator" w:id="0">
    <w:p w:rsidR="00B739F0" w:rsidRDefault="00B739F0" w:rsidP="0096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F0" w:rsidRDefault="00B739F0" w:rsidP="009646F7">
      <w:pPr>
        <w:spacing w:after="0" w:line="240" w:lineRule="auto"/>
      </w:pPr>
      <w:r>
        <w:separator/>
      </w:r>
    </w:p>
  </w:footnote>
  <w:footnote w:type="continuationSeparator" w:id="0">
    <w:p w:rsidR="00B739F0" w:rsidRDefault="00B739F0" w:rsidP="009646F7">
      <w:pPr>
        <w:spacing w:after="0" w:line="240" w:lineRule="auto"/>
      </w:pPr>
      <w:r>
        <w:continuationSeparator/>
      </w:r>
    </w:p>
  </w:footnote>
  <w:footnote w:id="1">
    <w:p w:rsidR="00287859" w:rsidRDefault="00287859">
      <w:pPr>
        <w:pStyle w:val="Notedebasdepage"/>
      </w:pPr>
      <w:r>
        <w:rPr>
          <w:rStyle w:val="Appelnotedebasdep"/>
        </w:rPr>
        <w:footnoteRef/>
      </w:r>
      <w:r>
        <w:t xml:space="preserve"> Grand Projet ferroviaire du </w:t>
      </w:r>
      <w:proofErr w:type="spellStart"/>
      <w:r>
        <w:t>Sud Ouest</w:t>
      </w:r>
      <w:proofErr w:type="spellEnd"/>
    </w:p>
  </w:footnote>
  <w:footnote w:id="2">
    <w:p w:rsidR="009646F7" w:rsidRPr="00AD3ABA" w:rsidRDefault="009646F7">
      <w:pPr>
        <w:pStyle w:val="Notedebasdepage"/>
      </w:pPr>
      <w:r w:rsidRPr="00AD3ABA">
        <w:rPr>
          <w:rStyle w:val="Appelnotedebasdep"/>
        </w:rPr>
        <w:footnoteRef/>
      </w:r>
      <w:r w:rsidRPr="00AD3ABA">
        <w:t xml:space="preserve"> «</w:t>
      </w:r>
      <w:r w:rsidRPr="00AD3ABA">
        <w:rPr>
          <w:i/>
        </w:rPr>
        <w:t> </w:t>
      </w:r>
      <w:r w:rsidRPr="00AD3ABA">
        <w:rPr>
          <w:rFonts w:eastAsia="Times New Roman" w:cs="Times New Roman"/>
          <w:bCs/>
          <w:lang w:eastAsia="fr-FR"/>
        </w:rPr>
        <w:t xml:space="preserve">Les rôles des commissaires enquêteurs et l'intérêt général (1998) » </w:t>
      </w:r>
      <w:r w:rsidRPr="00AD3ABA">
        <w:t xml:space="preserve">Xavier </w:t>
      </w:r>
      <w:proofErr w:type="spellStart"/>
      <w:r w:rsidRPr="00AD3ABA">
        <w:t>Piechaczyk</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0D"/>
    <w:rsid w:val="000000B1"/>
    <w:rsid w:val="0000113A"/>
    <w:rsid w:val="00005771"/>
    <w:rsid w:val="00007C6D"/>
    <w:rsid w:val="0003386E"/>
    <w:rsid w:val="00045F07"/>
    <w:rsid w:val="00047F89"/>
    <w:rsid w:val="00063FAC"/>
    <w:rsid w:val="00066376"/>
    <w:rsid w:val="00067C85"/>
    <w:rsid w:val="00070AA9"/>
    <w:rsid w:val="00072334"/>
    <w:rsid w:val="00077377"/>
    <w:rsid w:val="000849A9"/>
    <w:rsid w:val="00084BF2"/>
    <w:rsid w:val="00085642"/>
    <w:rsid w:val="00095AA6"/>
    <w:rsid w:val="000B16E4"/>
    <w:rsid w:val="000B5C4E"/>
    <w:rsid w:val="000B5D0E"/>
    <w:rsid w:val="000C4C2F"/>
    <w:rsid w:val="000C6E62"/>
    <w:rsid w:val="000D126C"/>
    <w:rsid w:val="000D1659"/>
    <w:rsid w:val="000D7381"/>
    <w:rsid w:val="000E33FC"/>
    <w:rsid w:val="000E3B5F"/>
    <w:rsid w:val="000F20E5"/>
    <w:rsid w:val="000F27F1"/>
    <w:rsid w:val="000F2C8F"/>
    <w:rsid w:val="000F3F95"/>
    <w:rsid w:val="000F7903"/>
    <w:rsid w:val="00106C7F"/>
    <w:rsid w:val="0012199F"/>
    <w:rsid w:val="00122091"/>
    <w:rsid w:val="00123BE8"/>
    <w:rsid w:val="00137FB4"/>
    <w:rsid w:val="00140222"/>
    <w:rsid w:val="00146030"/>
    <w:rsid w:val="00150626"/>
    <w:rsid w:val="00151B8E"/>
    <w:rsid w:val="00157B76"/>
    <w:rsid w:val="00166B8E"/>
    <w:rsid w:val="00171020"/>
    <w:rsid w:val="0017121C"/>
    <w:rsid w:val="0017446A"/>
    <w:rsid w:val="001803E5"/>
    <w:rsid w:val="00186B34"/>
    <w:rsid w:val="00187F25"/>
    <w:rsid w:val="00191147"/>
    <w:rsid w:val="0019674B"/>
    <w:rsid w:val="001C13E8"/>
    <w:rsid w:val="001D597B"/>
    <w:rsid w:val="001D6560"/>
    <w:rsid w:val="001E0E5F"/>
    <w:rsid w:val="001F3CE9"/>
    <w:rsid w:val="001F6C29"/>
    <w:rsid w:val="00204A99"/>
    <w:rsid w:val="00207D90"/>
    <w:rsid w:val="00216CCA"/>
    <w:rsid w:val="00222494"/>
    <w:rsid w:val="00224D52"/>
    <w:rsid w:val="00227F1F"/>
    <w:rsid w:val="002309F6"/>
    <w:rsid w:val="00241D27"/>
    <w:rsid w:val="00242269"/>
    <w:rsid w:val="00246DBA"/>
    <w:rsid w:val="00247737"/>
    <w:rsid w:val="00256DFA"/>
    <w:rsid w:val="00261857"/>
    <w:rsid w:val="00262940"/>
    <w:rsid w:val="0026597B"/>
    <w:rsid w:val="0027314C"/>
    <w:rsid w:val="00274F1E"/>
    <w:rsid w:val="00286A0C"/>
    <w:rsid w:val="00287859"/>
    <w:rsid w:val="00294F34"/>
    <w:rsid w:val="00296313"/>
    <w:rsid w:val="002972B9"/>
    <w:rsid w:val="002A5453"/>
    <w:rsid w:val="002B530A"/>
    <w:rsid w:val="002C1863"/>
    <w:rsid w:val="002D44B4"/>
    <w:rsid w:val="002D73E6"/>
    <w:rsid w:val="002D7BA4"/>
    <w:rsid w:val="002D7C54"/>
    <w:rsid w:val="002E26DD"/>
    <w:rsid w:val="002F2657"/>
    <w:rsid w:val="002F6D4A"/>
    <w:rsid w:val="003078D9"/>
    <w:rsid w:val="00314FD7"/>
    <w:rsid w:val="00336AED"/>
    <w:rsid w:val="00341FCB"/>
    <w:rsid w:val="003425B9"/>
    <w:rsid w:val="00344008"/>
    <w:rsid w:val="00346459"/>
    <w:rsid w:val="0035044C"/>
    <w:rsid w:val="00352E5E"/>
    <w:rsid w:val="0035338F"/>
    <w:rsid w:val="0035518C"/>
    <w:rsid w:val="00355FD8"/>
    <w:rsid w:val="0036148C"/>
    <w:rsid w:val="00362382"/>
    <w:rsid w:val="00365836"/>
    <w:rsid w:val="00367093"/>
    <w:rsid w:val="003767AA"/>
    <w:rsid w:val="00382755"/>
    <w:rsid w:val="0038570F"/>
    <w:rsid w:val="003864F9"/>
    <w:rsid w:val="00392D20"/>
    <w:rsid w:val="0039683D"/>
    <w:rsid w:val="003A0AF0"/>
    <w:rsid w:val="003A332D"/>
    <w:rsid w:val="003A49FE"/>
    <w:rsid w:val="003B1FA1"/>
    <w:rsid w:val="003C44DA"/>
    <w:rsid w:val="003C604B"/>
    <w:rsid w:val="003D6C67"/>
    <w:rsid w:val="003E69AC"/>
    <w:rsid w:val="003E741F"/>
    <w:rsid w:val="003F662F"/>
    <w:rsid w:val="003F79F3"/>
    <w:rsid w:val="00401C3A"/>
    <w:rsid w:val="004030DC"/>
    <w:rsid w:val="00413290"/>
    <w:rsid w:val="00413EDF"/>
    <w:rsid w:val="00414F71"/>
    <w:rsid w:val="00417219"/>
    <w:rsid w:val="004221B3"/>
    <w:rsid w:val="004264BF"/>
    <w:rsid w:val="00427A4D"/>
    <w:rsid w:val="00430385"/>
    <w:rsid w:val="00430C8F"/>
    <w:rsid w:val="0044189F"/>
    <w:rsid w:val="00444896"/>
    <w:rsid w:val="00445714"/>
    <w:rsid w:val="004531CB"/>
    <w:rsid w:val="00465638"/>
    <w:rsid w:val="004678CB"/>
    <w:rsid w:val="00473C0B"/>
    <w:rsid w:val="00477EEC"/>
    <w:rsid w:val="00482975"/>
    <w:rsid w:val="0048347B"/>
    <w:rsid w:val="00483D3D"/>
    <w:rsid w:val="00485CA7"/>
    <w:rsid w:val="004A06E9"/>
    <w:rsid w:val="004A249A"/>
    <w:rsid w:val="004A6CE8"/>
    <w:rsid w:val="004A6F4A"/>
    <w:rsid w:val="004B2AE6"/>
    <w:rsid w:val="004B6AD2"/>
    <w:rsid w:val="004C084A"/>
    <w:rsid w:val="004D6F3E"/>
    <w:rsid w:val="004E6933"/>
    <w:rsid w:val="004F0B54"/>
    <w:rsid w:val="00502A99"/>
    <w:rsid w:val="00502E1F"/>
    <w:rsid w:val="0050375C"/>
    <w:rsid w:val="0051037C"/>
    <w:rsid w:val="00511695"/>
    <w:rsid w:val="0051571F"/>
    <w:rsid w:val="0051673E"/>
    <w:rsid w:val="00525062"/>
    <w:rsid w:val="00531CCB"/>
    <w:rsid w:val="0053460B"/>
    <w:rsid w:val="00552FF1"/>
    <w:rsid w:val="00557BF2"/>
    <w:rsid w:val="005717F7"/>
    <w:rsid w:val="005724A1"/>
    <w:rsid w:val="005848AF"/>
    <w:rsid w:val="00592187"/>
    <w:rsid w:val="0059519D"/>
    <w:rsid w:val="005958E2"/>
    <w:rsid w:val="005A0D5C"/>
    <w:rsid w:val="005A7E59"/>
    <w:rsid w:val="005B6D1D"/>
    <w:rsid w:val="005D08DD"/>
    <w:rsid w:val="005D1A3E"/>
    <w:rsid w:val="005D48CA"/>
    <w:rsid w:val="005D774D"/>
    <w:rsid w:val="005D7A1C"/>
    <w:rsid w:val="005D7A70"/>
    <w:rsid w:val="005F300D"/>
    <w:rsid w:val="005F3653"/>
    <w:rsid w:val="005F407D"/>
    <w:rsid w:val="005F51C7"/>
    <w:rsid w:val="00614476"/>
    <w:rsid w:val="006168FF"/>
    <w:rsid w:val="00623BB8"/>
    <w:rsid w:val="006275DC"/>
    <w:rsid w:val="006316A8"/>
    <w:rsid w:val="006316ED"/>
    <w:rsid w:val="0064445F"/>
    <w:rsid w:val="0064692A"/>
    <w:rsid w:val="00651346"/>
    <w:rsid w:val="0065409E"/>
    <w:rsid w:val="00665327"/>
    <w:rsid w:val="006744CE"/>
    <w:rsid w:val="00680F0D"/>
    <w:rsid w:val="00686D85"/>
    <w:rsid w:val="006A7CB6"/>
    <w:rsid w:val="006B6DED"/>
    <w:rsid w:val="006D14BE"/>
    <w:rsid w:val="006E2923"/>
    <w:rsid w:val="006E5FC5"/>
    <w:rsid w:val="006E71FB"/>
    <w:rsid w:val="006F26C1"/>
    <w:rsid w:val="006F3759"/>
    <w:rsid w:val="006F471D"/>
    <w:rsid w:val="006F625B"/>
    <w:rsid w:val="00700E65"/>
    <w:rsid w:val="00717422"/>
    <w:rsid w:val="00732C59"/>
    <w:rsid w:val="00736E83"/>
    <w:rsid w:val="007373EA"/>
    <w:rsid w:val="00743D14"/>
    <w:rsid w:val="00746EA9"/>
    <w:rsid w:val="00751FC4"/>
    <w:rsid w:val="0075299F"/>
    <w:rsid w:val="00761981"/>
    <w:rsid w:val="00767728"/>
    <w:rsid w:val="00773A26"/>
    <w:rsid w:val="00776387"/>
    <w:rsid w:val="00780DA6"/>
    <w:rsid w:val="00782E1E"/>
    <w:rsid w:val="0078650E"/>
    <w:rsid w:val="00787223"/>
    <w:rsid w:val="00787262"/>
    <w:rsid w:val="00792995"/>
    <w:rsid w:val="00792C5A"/>
    <w:rsid w:val="007A1928"/>
    <w:rsid w:val="007A2BD3"/>
    <w:rsid w:val="007A4DC0"/>
    <w:rsid w:val="007C1FC1"/>
    <w:rsid w:val="007C4A91"/>
    <w:rsid w:val="007C53EB"/>
    <w:rsid w:val="007D1B91"/>
    <w:rsid w:val="007F184B"/>
    <w:rsid w:val="007F3261"/>
    <w:rsid w:val="00801094"/>
    <w:rsid w:val="0080600F"/>
    <w:rsid w:val="00821A44"/>
    <w:rsid w:val="00822E51"/>
    <w:rsid w:val="00824486"/>
    <w:rsid w:val="0083021E"/>
    <w:rsid w:val="00830B04"/>
    <w:rsid w:val="008332F3"/>
    <w:rsid w:val="008335FB"/>
    <w:rsid w:val="00836F98"/>
    <w:rsid w:val="00846461"/>
    <w:rsid w:val="0084664C"/>
    <w:rsid w:val="008507DA"/>
    <w:rsid w:val="00854E8F"/>
    <w:rsid w:val="0086784F"/>
    <w:rsid w:val="0086798D"/>
    <w:rsid w:val="00871B99"/>
    <w:rsid w:val="00876210"/>
    <w:rsid w:val="00880DF3"/>
    <w:rsid w:val="00882FA8"/>
    <w:rsid w:val="0089029E"/>
    <w:rsid w:val="008B2F5C"/>
    <w:rsid w:val="008C4CCF"/>
    <w:rsid w:val="008C632C"/>
    <w:rsid w:val="008C6800"/>
    <w:rsid w:val="008D444E"/>
    <w:rsid w:val="008D67ED"/>
    <w:rsid w:val="008F0A74"/>
    <w:rsid w:val="008F1083"/>
    <w:rsid w:val="008F2859"/>
    <w:rsid w:val="008F3422"/>
    <w:rsid w:val="008F76B9"/>
    <w:rsid w:val="00900578"/>
    <w:rsid w:val="00903950"/>
    <w:rsid w:val="0090490F"/>
    <w:rsid w:val="00912669"/>
    <w:rsid w:val="00912B7C"/>
    <w:rsid w:val="00912E1E"/>
    <w:rsid w:val="00912F51"/>
    <w:rsid w:val="00915CE9"/>
    <w:rsid w:val="00922679"/>
    <w:rsid w:val="00922D2F"/>
    <w:rsid w:val="00925CED"/>
    <w:rsid w:val="00931C7E"/>
    <w:rsid w:val="00932445"/>
    <w:rsid w:val="009353F6"/>
    <w:rsid w:val="00935592"/>
    <w:rsid w:val="00942830"/>
    <w:rsid w:val="00950CA4"/>
    <w:rsid w:val="00955340"/>
    <w:rsid w:val="00956BF4"/>
    <w:rsid w:val="009646F7"/>
    <w:rsid w:val="00970C3B"/>
    <w:rsid w:val="009772E6"/>
    <w:rsid w:val="0098519C"/>
    <w:rsid w:val="00987C3A"/>
    <w:rsid w:val="00991783"/>
    <w:rsid w:val="009963C4"/>
    <w:rsid w:val="009A3600"/>
    <w:rsid w:val="009A6D7C"/>
    <w:rsid w:val="009C0D93"/>
    <w:rsid w:val="009C2EE6"/>
    <w:rsid w:val="009C5000"/>
    <w:rsid w:val="009C6045"/>
    <w:rsid w:val="009D18E6"/>
    <w:rsid w:val="009E3088"/>
    <w:rsid w:val="009E5356"/>
    <w:rsid w:val="009E79E0"/>
    <w:rsid w:val="009F0868"/>
    <w:rsid w:val="009F4A62"/>
    <w:rsid w:val="00A020B7"/>
    <w:rsid w:val="00A04D92"/>
    <w:rsid w:val="00A117D2"/>
    <w:rsid w:val="00A219DB"/>
    <w:rsid w:val="00A22B2F"/>
    <w:rsid w:val="00A418FB"/>
    <w:rsid w:val="00A41AC1"/>
    <w:rsid w:val="00A43448"/>
    <w:rsid w:val="00A44738"/>
    <w:rsid w:val="00A46D94"/>
    <w:rsid w:val="00A47410"/>
    <w:rsid w:val="00A66758"/>
    <w:rsid w:val="00A66A27"/>
    <w:rsid w:val="00A7182A"/>
    <w:rsid w:val="00A72290"/>
    <w:rsid w:val="00A72B64"/>
    <w:rsid w:val="00A85917"/>
    <w:rsid w:val="00A85B0C"/>
    <w:rsid w:val="00A86646"/>
    <w:rsid w:val="00A87AF6"/>
    <w:rsid w:val="00A973AF"/>
    <w:rsid w:val="00AA32BD"/>
    <w:rsid w:val="00AB2811"/>
    <w:rsid w:val="00AB71D0"/>
    <w:rsid w:val="00AC50D7"/>
    <w:rsid w:val="00AC73F3"/>
    <w:rsid w:val="00AD3ABA"/>
    <w:rsid w:val="00AD5865"/>
    <w:rsid w:val="00AE4B0B"/>
    <w:rsid w:val="00AE7F52"/>
    <w:rsid w:val="00B07D7D"/>
    <w:rsid w:val="00B13CF3"/>
    <w:rsid w:val="00B1726F"/>
    <w:rsid w:val="00B21320"/>
    <w:rsid w:val="00B2670F"/>
    <w:rsid w:val="00B27E5A"/>
    <w:rsid w:val="00B34422"/>
    <w:rsid w:val="00B4377C"/>
    <w:rsid w:val="00B471BE"/>
    <w:rsid w:val="00B52E8E"/>
    <w:rsid w:val="00B53481"/>
    <w:rsid w:val="00B55EFF"/>
    <w:rsid w:val="00B615E5"/>
    <w:rsid w:val="00B65D46"/>
    <w:rsid w:val="00B739F0"/>
    <w:rsid w:val="00B86C8D"/>
    <w:rsid w:val="00B9104F"/>
    <w:rsid w:val="00B9113B"/>
    <w:rsid w:val="00B93384"/>
    <w:rsid w:val="00BA5552"/>
    <w:rsid w:val="00BB065A"/>
    <w:rsid w:val="00BB1454"/>
    <w:rsid w:val="00BB5934"/>
    <w:rsid w:val="00BB6990"/>
    <w:rsid w:val="00BC5603"/>
    <w:rsid w:val="00BD39DA"/>
    <w:rsid w:val="00BD7BBE"/>
    <w:rsid w:val="00BE6F7E"/>
    <w:rsid w:val="00BE7E3D"/>
    <w:rsid w:val="00BF23E6"/>
    <w:rsid w:val="00BF2589"/>
    <w:rsid w:val="00BF61B9"/>
    <w:rsid w:val="00BF77BF"/>
    <w:rsid w:val="00C02187"/>
    <w:rsid w:val="00C05E8A"/>
    <w:rsid w:val="00C11402"/>
    <w:rsid w:val="00C2096B"/>
    <w:rsid w:val="00C336D3"/>
    <w:rsid w:val="00C458F3"/>
    <w:rsid w:val="00C573BC"/>
    <w:rsid w:val="00C6571E"/>
    <w:rsid w:val="00C70287"/>
    <w:rsid w:val="00C7260E"/>
    <w:rsid w:val="00C748E4"/>
    <w:rsid w:val="00C80180"/>
    <w:rsid w:val="00C8237A"/>
    <w:rsid w:val="00C82B6C"/>
    <w:rsid w:val="00CA6F1C"/>
    <w:rsid w:val="00CA767E"/>
    <w:rsid w:val="00CB64D2"/>
    <w:rsid w:val="00CC2ADA"/>
    <w:rsid w:val="00CE3C4D"/>
    <w:rsid w:val="00CE50D2"/>
    <w:rsid w:val="00CF5A81"/>
    <w:rsid w:val="00CF7038"/>
    <w:rsid w:val="00D03EB0"/>
    <w:rsid w:val="00D040F0"/>
    <w:rsid w:val="00D07401"/>
    <w:rsid w:val="00D079B3"/>
    <w:rsid w:val="00D11ECB"/>
    <w:rsid w:val="00D272FC"/>
    <w:rsid w:val="00D3163C"/>
    <w:rsid w:val="00D317CB"/>
    <w:rsid w:val="00D35981"/>
    <w:rsid w:val="00D35BCE"/>
    <w:rsid w:val="00D414DA"/>
    <w:rsid w:val="00D425BD"/>
    <w:rsid w:val="00D47B6B"/>
    <w:rsid w:val="00D57046"/>
    <w:rsid w:val="00D604C1"/>
    <w:rsid w:val="00D67C81"/>
    <w:rsid w:val="00D74478"/>
    <w:rsid w:val="00D817B6"/>
    <w:rsid w:val="00D849FB"/>
    <w:rsid w:val="00D87787"/>
    <w:rsid w:val="00D87B42"/>
    <w:rsid w:val="00D90CD9"/>
    <w:rsid w:val="00D95C6D"/>
    <w:rsid w:val="00D9753E"/>
    <w:rsid w:val="00DB7741"/>
    <w:rsid w:val="00DB79FB"/>
    <w:rsid w:val="00DC0587"/>
    <w:rsid w:val="00DD4985"/>
    <w:rsid w:val="00DE0C96"/>
    <w:rsid w:val="00E042E5"/>
    <w:rsid w:val="00E05B54"/>
    <w:rsid w:val="00E23ED6"/>
    <w:rsid w:val="00E2769A"/>
    <w:rsid w:val="00E30DBF"/>
    <w:rsid w:val="00E532E1"/>
    <w:rsid w:val="00E57236"/>
    <w:rsid w:val="00E57705"/>
    <w:rsid w:val="00E66CF6"/>
    <w:rsid w:val="00E74F12"/>
    <w:rsid w:val="00E81C93"/>
    <w:rsid w:val="00E834C2"/>
    <w:rsid w:val="00E86D56"/>
    <w:rsid w:val="00E87BD2"/>
    <w:rsid w:val="00E92660"/>
    <w:rsid w:val="00EA365B"/>
    <w:rsid w:val="00EA79D4"/>
    <w:rsid w:val="00EB10E0"/>
    <w:rsid w:val="00EC18D0"/>
    <w:rsid w:val="00ED0556"/>
    <w:rsid w:val="00ED0762"/>
    <w:rsid w:val="00ED0E00"/>
    <w:rsid w:val="00EE67EB"/>
    <w:rsid w:val="00EE6F41"/>
    <w:rsid w:val="00EF22BF"/>
    <w:rsid w:val="00EF3550"/>
    <w:rsid w:val="00EF521C"/>
    <w:rsid w:val="00EF6DE3"/>
    <w:rsid w:val="00EF734B"/>
    <w:rsid w:val="00F052DC"/>
    <w:rsid w:val="00F110B6"/>
    <w:rsid w:val="00F155E8"/>
    <w:rsid w:val="00F16B52"/>
    <w:rsid w:val="00F20924"/>
    <w:rsid w:val="00F22A00"/>
    <w:rsid w:val="00F35100"/>
    <w:rsid w:val="00F37B2D"/>
    <w:rsid w:val="00F5515E"/>
    <w:rsid w:val="00F6030C"/>
    <w:rsid w:val="00F62C3A"/>
    <w:rsid w:val="00F63D0A"/>
    <w:rsid w:val="00F66668"/>
    <w:rsid w:val="00F66E54"/>
    <w:rsid w:val="00F72603"/>
    <w:rsid w:val="00F9079F"/>
    <w:rsid w:val="00F9463E"/>
    <w:rsid w:val="00F968C9"/>
    <w:rsid w:val="00FA2EEA"/>
    <w:rsid w:val="00FA5B42"/>
    <w:rsid w:val="00FA5EB4"/>
    <w:rsid w:val="00FA753F"/>
    <w:rsid w:val="00FB168B"/>
    <w:rsid w:val="00FB170D"/>
    <w:rsid w:val="00FB44C3"/>
    <w:rsid w:val="00FB4A15"/>
    <w:rsid w:val="00FC5B00"/>
    <w:rsid w:val="00FE65DA"/>
    <w:rsid w:val="00FF2BE4"/>
    <w:rsid w:val="00FF66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CCE2E-E0A7-4FE5-9E9C-57A79AF3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F3F95"/>
    <w:rPr>
      <w:color w:val="0000FF"/>
      <w:u w:val="single"/>
    </w:rPr>
  </w:style>
  <w:style w:type="paragraph" w:styleId="Notedebasdepage">
    <w:name w:val="footnote text"/>
    <w:basedOn w:val="Normal"/>
    <w:link w:val="NotedebasdepageCar"/>
    <w:uiPriority w:val="99"/>
    <w:semiHidden/>
    <w:unhideWhenUsed/>
    <w:rsid w:val="009646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46F7"/>
    <w:rPr>
      <w:sz w:val="20"/>
      <w:szCs w:val="20"/>
    </w:rPr>
  </w:style>
  <w:style w:type="character" w:styleId="Appelnotedebasdep">
    <w:name w:val="footnote reference"/>
    <w:basedOn w:val="Policepardfaut"/>
    <w:uiPriority w:val="99"/>
    <w:semiHidden/>
    <w:unhideWhenUsed/>
    <w:rsid w:val="009646F7"/>
    <w:rPr>
      <w:vertAlign w:val="superscript"/>
    </w:rPr>
  </w:style>
  <w:style w:type="paragraph" w:styleId="NormalWeb">
    <w:name w:val="Normal (Web)"/>
    <w:basedOn w:val="Normal"/>
    <w:uiPriority w:val="99"/>
    <w:semiHidden/>
    <w:unhideWhenUsed/>
    <w:rsid w:val="00E276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1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0333">
      <w:bodyDiv w:val="1"/>
      <w:marLeft w:val="0"/>
      <w:marRight w:val="0"/>
      <w:marTop w:val="0"/>
      <w:marBottom w:val="0"/>
      <w:divBdr>
        <w:top w:val="none" w:sz="0" w:space="0" w:color="auto"/>
        <w:left w:val="none" w:sz="0" w:space="0" w:color="auto"/>
        <w:bottom w:val="none" w:sz="0" w:space="0" w:color="auto"/>
        <w:right w:val="none" w:sz="0" w:space="0" w:color="auto"/>
      </w:divBdr>
    </w:div>
    <w:div w:id="931667400">
      <w:bodyDiv w:val="1"/>
      <w:marLeft w:val="0"/>
      <w:marRight w:val="0"/>
      <w:marTop w:val="0"/>
      <w:marBottom w:val="0"/>
      <w:divBdr>
        <w:top w:val="none" w:sz="0" w:space="0" w:color="auto"/>
        <w:left w:val="none" w:sz="0" w:space="0" w:color="auto"/>
        <w:bottom w:val="none" w:sz="0" w:space="0" w:color="auto"/>
        <w:right w:val="none" w:sz="0" w:space="0" w:color="auto"/>
      </w:divBdr>
      <w:divsChild>
        <w:div w:id="1190415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739462">
      <w:bodyDiv w:val="1"/>
      <w:marLeft w:val="0"/>
      <w:marRight w:val="0"/>
      <w:marTop w:val="0"/>
      <w:marBottom w:val="0"/>
      <w:divBdr>
        <w:top w:val="none" w:sz="0" w:space="0" w:color="auto"/>
        <w:left w:val="none" w:sz="0" w:space="0" w:color="auto"/>
        <w:bottom w:val="none" w:sz="0" w:space="0" w:color="auto"/>
        <w:right w:val="none" w:sz="0" w:space="0" w:color="auto"/>
      </w:divBdr>
      <w:divsChild>
        <w:div w:id="897282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2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0097-B8DB-4C8A-A4D0-9CD9F75F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guy de barbeyrac</cp:lastModifiedBy>
  <cp:revision>2</cp:revision>
  <dcterms:created xsi:type="dcterms:W3CDTF">2015-06-18T12:58:00Z</dcterms:created>
  <dcterms:modified xsi:type="dcterms:W3CDTF">2015-06-18T12:58:00Z</dcterms:modified>
</cp:coreProperties>
</file>