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b/>
          <w:bCs/>
          <w:sz w:val="36"/>
          <w:szCs w:val="36"/>
          <w:lang w:eastAsia="fr-FR"/>
        </w:rPr>
        <w:t>Environnement</w:t>
      </w:r>
      <w:bookmarkStart w:id="0" w:name="_GoBack"/>
      <w:bookmarkEnd w:id="0"/>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b/>
          <w:bCs/>
          <w:sz w:val="48"/>
          <w:szCs w:val="48"/>
          <w:lang w:eastAsia="fr-FR"/>
        </w:rPr>
        <w:t>Perturbateurs endocriniens : un coût sanitaire évalué à 157 milliards d’euros par an dans l’UE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xml:space="preserve">Publié le 06/03/2015 • Par </w:t>
      </w:r>
      <w:r w:rsidRPr="002540B5">
        <w:rPr>
          <w:rFonts w:ascii="Times New Roman" w:eastAsia="Times New Roman" w:hAnsi="Times New Roman" w:cs="Times New Roman"/>
          <w:b/>
          <w:bCs/>
          <w:sz w:val="24"/>
          <w:szCs w:val="24"/>
          <w:lang w:eastAsia="fr-FR"/>
        </w:rPr>
        <w:t>Arnaud Garrigues, avec l'AFP</w:t>
      </w:r>
      <w:r w:rsidRPr="002540B5">
        <w:rPr>
          <w:rFonts w:ascii="Times New Roman" w:eastAsia="Times New Roman" w:hAnsi="Times New Roman" w:cs="Times New Roman"/>
          <w:sz w:val="24"/>
          <w:szCs w:val="24"/>
          <w:lang w:eastAsia="fr-FR"/>
        </w:rPr>
        <w:t xml:space="preserve"> • dans : Europe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xml:space="preserve">Les pesticides sont parmi les principaux perturbateurs endocriniens. © </w:t>
      </w:r>
      <w:proofErr w:type="spellStart"/>
      <w:proofErr w:type="gramStart"/>
      <w:r w:rsidRPr="002540B5">
        <w:rPr>
          <w:rFonts w:ascii="Times New Roman" w:eastAsia="Times New Roman" w:hAnsi="Times New Roman" w:cs="Times New Roman"/>
          <w:sz w:val="24"/>
          <w:szCs w:val="24"/>
          <w:lang w:eastAsia="fr-FR"/>
        </w:rPr>
        <w:t>overcrew</w:t>
      </w:r>
      <w:proofErr w:type="spellEnd"/>
      <w:proofErr w:type="gramEnd"/>
      <w:r w:rsidRPr="002540B5">
        <w:rPr>
          <w:rFonts w:ascii="Times New Roman" w:eastAsia="Times New Roman" w:hAnsi="Times New Roman" w:cs="Times New Roman"/>
          <w:sz w:val="24"/>
          <w:szCs w:val="24"/>
          <w:lang w:eastAsia="fr-FR"/>
        </w:rPr>
        <w:t xml:space="preserve"> - </w:t>
      </w:r>
      <w:proofErr w:type="spellStart"/>
      <w:r w:rsidRPr="002540B5">
        <w:rPr>
          <w:rFonts w:ascii="Times New Roman" w:eastAsia="Times New Roman" w:hAnsi="Times New Roman" w:cs="Times New Roman"/>
          <w:sz w:val="24"/>
          <w:szCs w:val="24"/>
          <w:lang w:eastAsia="fr-FR"/>
        </w:rPr>
        <w:t>Fotolia</w:t>
      </w:r>
      <w:proofErr w:type="spellEnd"/>
      <w:r w:rsidRPr="002540B5">
        <w:rPr>
          <w:rFonts w:ascii="Times New Roman" w:eastAsia="Times New Roman" w:hAnsi="Times New Roman" w:cs="Times New Roman"/>
          <w:sz w:val="24"/>
          <w:szCs w:val="24"/>
          <w:lang w:eastAsia="fr-FR"/>
        </w:rPr>
        <w:t xml:space="preserve"> </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xml:space="preserve">L'exposition humaine aux perturbateurs endocriniens - surtout les pesticides - coûterait au moins 157 milliards d'euros par an dans l'Union européenne (UE), selon </w:t>
      </w:r>
      <w:proofErr w:type="gramStart"/>
      <w:r w:rsidRPr="002540B5">
        <w:rPr>
          <w:rFonts w:ascii="Times New Roman" w:eastAsia="Times New Roman" w:hAnsi="Times New Roman" w:cs="Times New Roman"/>
          <w:sz w:val="24"/>
          <w:szCs w:val="24"/>
          <w:lang w:eastAsia="fr-FR"/>
        </w:rPr>
        <w:t>un</w:t>
      </w:r>
      <w:proofErr w:type="gramEnd"/>
      <w:r w:rsidRPr="002540B5">
        <w:rPr>
          <w:rFonts w:ascii="Times New Roman" w:eastAsia="Times New Roman" w:hAnsi="Times New Roman" w:cs="Times New Roman"/>
          <w:sz w:val="24"/>
          <w:szCs w:val="24"/>
          <w:lang w:eastAsia="fr-FR"/>
        </w:rPr>
        <w:t xml:space="preserve"> étude publiée le 5 mars 2015 dans la revue scientifique Journal of </w:t>
      </w:r>
      <w:proofErr w:type="spellStart"/>
      <w:r w:rsidRPr="002540B5">
        <w:rPr>
          <w:rFonts w:ascii="Times New Roman" w:eastAsia="Times New Roman" w:hAnsi="Times New Roman" w:cs="Times New Roman"/>
          <w:sz w:val="24"/>
          <w:szCs w:val="24"/>
          <w:lang w:eastAsia="fr-FR"/>
        </w:rPr>
        <w:t>clinical</w:t>
      </w:r>
      <w:proofErr w:type="spellEnd"/>
      <w:r w:rsidRPr="002540B5">
        <w:rPr>
          <w:rFonts w:ascii="Times New Roman" w:eastAsia="Times New Roman" w:hAnsi="Times New Roman" w:cs="Times New Roman"/>
          <w:sz w:val="24"/>
          <w:szCs w:val="24"/>
          <w:lang w:eastAsia="fr-FR"/>
        </w:rPr>
        <w:t xml:space="preserve"> </w:t>
      </w:r>
      <w:proofErr w:type="spellStart"/>
      <w:r w:rsidRPr="002540B5">
        <w:rPr>
          <w:rFonts w:ascii="Times New Roman" w:eastAsia="Times New Roman" w:hAnsi="Times New Roman" w:cs="Times New Roman"/>
          <w:sz w:val="24"/>
          <w:szCs w:val="24"/>
          <w:lang w:eastAsia="fr-FR"/>
        </w:rPr>
        <w:t>endocrinology</w:t>
      </w:r>
      <w:proofErr w:type="spellEnd"/>
      <w:r w:rsidRPr="002540B5">
        <w:rPr>
          <w:rFonts w:ascii="Times New Roman" w:eastAsia="Times New Roman" w:hAnsi="Times New Roman" w:cs="Times New Roman"/>
          <w:sz w:val="24"/>
          <w:szCs w:val="24"/>
          <w:lang w:eastAsia="fr-FR"/>
        </w:rPr>
        <w:t xml:space="preserve"> and </w:t>
      </w:r>
      <w:proofErr w:type="spellStart"/>
      <w:r w:rsidRPr="002540B5">
        <w:rPr>
          <w:rFonts w:ascii="Times New Roman" w:eastAsia="Times New Roman" w:hAnsi="Times New Roman" w:cs="Times New Roman"/>
          <w:sz w:val="24"/>
          <w:szCs w:val="24"/>
          <w:lang w:eastAsia="fr-FR"/>
        </w:rPr>
        <w:t>metabolism</w:t>
      </w:r>
      <w:proofErr w:type="spellEnd"/>
      <w:r w:rsidRPr="002540B5">
        <w:rPr>
          <w:rFonts w:ascii="Times New Roman" w:eastAsia="Times New Roman" w:hAnsi="Times New Roman" w:cs="Times New Roman"/>
          <w:sz w:val="24"/>
          <w:szCs w:val="24"/>
          <w:lang w:eastAsia="fr-FR"/>
        </w:rPr>
        <w:t xml:space="preserve"> et présentée à Bruxelles.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Les 18 auteurs de ces recherches sur les perturbateurs endocriniens ont établi cette addition, qui représente plus de 1,2% du PIB de l’Union européenne, en retenant pour hypothèse une relation de causalité entre l’exposition aux perturbateurs endocriniens et les retards de développement cérébral, ainsi qu’une série de pathologies comme autisme, obésité, diabète et stérilité masculine.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xml:space="preserve">« Ces estimations ne prennent en compte que les perturbateurs pour lesquels la relation de causalité est la plus hautement probable », notamment les </w:t>
      </w:r>
      <w:proofErr w:type="spellStart"/>
      <w:r w:rsidRPr="002540B5">
        <w:rPr>
          <w:rFonts w:ascii="Times New Roman" w:eastAsia="Times New Roman" w:hAnsi="Times New Roman" w:cs="Times New Roman"/>
          <w:sz w:val="24"/>
          <w:szCs w:val="24"/>
          <w:lang w:eastAsia="fr-FR"/>
        </w:rPr>
        <w:t>organophosphates</w:t>
      </w:r>
      <w:proofErr w:type="spellEnd"/>
      <w:r w:rsidRPr="002540B5">
        <w:rPr>
          <w:rFonts w:ascii="Times New Roman" w:eastAsia="Times New Roman" w:hAnsi="Times New Roman" w:cs="Times New Roman"/>
          <w:sz w:val="24"/>
          <w:szCs w:val="24"/>
          <w:lang w:eastAsia="fr-FR"/>
        </w:rPr>
        <w:t xml:space="preserve"> (OP) utilisés pour les pesticides, et les </w:t>
      </w:r>
      <w:proofErr w:type="spellStart"/>
      <w:r w:rsidRPr="002540B5">
        <w:rPr>
          <w:rFonts w:ascii="Times New Roman" w:eastAsia="Times New Roman" w:hAnsi="Times New Roman" w:cs="Times New Roman"/>
          <w:sz w:val="24"/>
          <w:szCs w:val="24"/>
          <w:lang w:eastAsia="fr-FR"/>
        </w:rPr>
        <w:t>polybromodiphényléthers</w:t>
      </w:r>
      <w:proofErr w:type="spellEnd"/>
      <w:r w:rsidRPr="002540B5">
        <w:rPr>
          <w:rFonts w:ascii="Times New Roman" w:eastAsia="Times New Roman" w:hAnsi="Times New Roman" w:cs="Times New Roman"/>
          <w:sz w:val="24"/>
          <w:szCs w:val="24"/>
          <w:lang w:eastAsia="fr-FR"/>
        </w:rPr>
        <w:t xml:space="preserve"> (PBDE) servant à ignifuger plastiques et textiles, note l’article. Certaines de ces substances sont déjà interdites dans des pays de l’UE, notamment en Scandinavie, mais restent utilisées dans d’autres.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b/>
          <w:bCs/>
          <w:sz w:val="36"/>
          <w:szCs w:val="36"/>
          <w:lang w:eastAsia="fr-FR"/>
        </w:rPr>
        <w:t>L’impact neurologique des perturbateurs endocriniens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Selon l’étude, menée sur des données de 2010, le plus gros des coûts, estimés en dépenses de santé et perte de productivité, découle de l’impact neurologique des perturbateurs endocriniens, chiffré à 132 milliards d’euros. Les pesticides sont les principaux responsables de l’addition globale, avec une part de 120 milliards.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Il s’agit « pour l’essentiel d’une interprétation et une spéculation informée, et personne ne doit perdre cela de vue », a relativisé Richard Harpe, spécialiste en reproduction masculine à l’Université d’Edimbourg, dans une première réaction rendue publique en Grande-Bretagne.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Nous travaillons sur des probabilités et savons qu’il y a des incertitudes, mais cette étude est un début », a répondu Martine Bellanger, professeur à l’École des hautes études en santé publique en France.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b/>
          <w:bCs/>
          <w:sz w:val="36"/>
          <w:szCs w:val="36"/>
          <w:lang w:eastAsia="fr-FR"/>
        </w:rPr>
        <w:lastRenderedPageBreak/>
        <w:t>Dans l’attente d’une législation européenne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Les auteurs précisent que leur objectif est « de livrer une estimation du bénéfice sanitaire et économique d’une régulation des perturbateurs endocriniens en Europe », alors que la Commission européenne a entrepris un passage en revue de sa législation en la matière. Mais ce nouveau cadre réglementaire, qui pourrait conduire à l’interdiction d’une large gamme de pesticides, isolants alimentaires ou composants de cosmétiques, a été renvoyé à 2016.</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Justifié à Bruxelles par la complexité scientifique et économique du dossier, ce délai alimente des critiques croissantes contre l’exécutif européen, accusé de vouloir ménager l’industrie chimique.</w:t>
      </w:r>
      <w:r w:rsidRPr="002540B5">
        <w:rPr>
          <w:rFonts w:ascii="Times New Roman" w:eastAsia="Times New Roman" w:hAnsi="Times New Roman" w:cs="Times New Roman"/>
          <w:sz w:val="24"/>
          <w:szCs w:val="24"/>
          <w:lang w:eastAsia="fr-FR"/>
        </w:rPr>
        <w:br/>
        <w:t>La Commission est même visée devant la justice européenne par un recours en carence intenté cet été par la Suède, et soutenu par l’ensemble des États membres.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Focus</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b/>
          <w:bCs/>
          <w:sz w:val="36"/>
          <w:szCs w:val="36"/>
          <w:lang w:eastAsia="fr-FR"/>
        </w:rPr>
        <w:t> La ministre de l’Ecologie souhaite que l’Europe accélère sur cette thématique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A l’occasion de la publication d’une étude portant sur les coûts économiques à l’échelle de l’Union européenne de l’exposition aux perturbateurs endocriniens, je rappelle l’engagement fort de la France pour réduire l’exposition de la population humaine et de l’environne Perturbateurs endocriniens : un coût sanitaire évalué à 157 milliards d’euros par an dans l’</w:t>
      </w:r>
      <w:proofErr w:type="spellStart"/>
      <w:r w:rsidRPr="002540B5">
        <w:rPr>
          <w:rFonts w:ascii="Times New Roman" w:eastAsia="Times New Roman" w:hAnsi="Times New Roman" w:cs="Times New Roman"/>
          <w:sz w:val="24"/>
          <w:szCs w:val="24"/>
          <w:lang w:eastAsia="fr-FR"/>
        </w:rPr>
        <w:t>UEment</w:t>
      </w:r>
      <w:proofErr w:type="spellEnd"/>
      <w:r w:rsidRPr="002540B5">
        <w:rPr>
          <w:rFonts w:ascii="Times New Roman" w:eastAsia="Times New Roman" w:hAnsi="Times New Roman" w:cs="Times New Roman"/>
          <w:sz w:val="24"/>
          <w:szCs w:val="24"/>
          <w:lang w:eastAsia="fr-FR"/>
        </w:rPr>
        <w:t xml:space="preserve"> à ces substances, a réagi Ségolène Royal, ministre de l’Ecologie. Je rencontre aujourd’hui (le vendredi 6 mars, ndlr) le Commissaire européen </w:t>
      </w:r>
      <w:proofErr w:type="spellStart"/>
      <w:r w:rsidRPr="002540B5">
        <w:rPr>
          <w:rFonts w:ascii="Times New Roman" w:eastAsia="Times New Roman" w:hAnsi="Times New Roman" w:cs="Times New Roman"/>
          <w:sz w:val="24"/>
          <w:szCs w:val="24"/>
          <w:lang w:eastAsia="fr-FR"/>
        </w:rPr>
        <w:t>Vytenis</w:t>
      </w:r>
      <w:proofErr w:type="spellEnd"/>
      <w:r w:rsidRPr="002540B5">
        <w:rPr>
          <w:rFonts w:ascii="Times New Roman" w:eastAsia="Times New Roman" w:hAnsi="Times New Roman" w:cs="Times New Roman"/>
          <w:sz w:val="24"/>
          <w:szCs w:val="24"/>
          <w:lang w:eastAsia="fr-FR"/>
        </w:rPr>
        <w:t xml:space="preserve"> </w:t>
      </w:r>
      <w:proofErr w:type="spellStart"/>
      <w:r w:rsidRPr="002540B5">
        <w:rPr>
          <w:rFonts w:ascii="Times New Roman" w:eastAsia="Times New Roman" w:hAnsi="Times New Roman" w:cs="Times New Roman"/>
          <w:sz w:val="24"/>
          <w:szCs w:val="24"/>
          <w:lang w:eastAsia="fr-FR"/>
        </w:rPr>
        <w:t>Andriukaitis</w:t>
      </w:r>
      <w:proofErr w:type="spellEnd"/>
      <w:r w:rsidRPr="002540B5">
        <w:rPr>
          <w:rFonts w:ascii="Times New Roman" w:eastAsia="Times New Roman" w:hAnsi="Times New Roman" w:cs="Times New Roman"/>
          <w:sz w:val="24"/>
          <w:szCs w:val="24"/>
          <w:lang w:eastAsia="fr-FR"/>
        </w:rPr>
        <w:t>, chargé de la santé et de la sécurité alimentaire ». Une démarche qui s’inscrit dans le prolongement des engagements pris lors de la dernière conférence environnementale, et visant à la prise en charge de cette problématique par la Commission européenne.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 Les coûts estimés par ces scientifiques, même si certaines incertitudes ne doivent pas être oubliées, sont majeurs et appellent à une accélération de l’action des pouvoirs publics », indique un communiqué du ministère de l’Ecologie.</w:t>
      </w:r>
      <w:r w:rsidRPr="002540B5">
        <w:rPr>
          <w:rFonts w:ascii="Times New Roman" w:eastAsia="Times New Roman" w:hAnsi="Times New Roman" w:cs="Times New Roman"/>
          <w:sz w:val="24"/>
          <w:szCs w:val="24"/>
          <w:lang w:eastAsia="fr-FR"/>
        </w:rPr>
        <w:br/>
        <w:t>Cette publication est l’occasion de rappeler l’engagement fort pris par la France dans ce domaine.</w:t>
      </w:r>
    </w:p>
    <w:p w:rsidR="002540B5" w:rsidRPr="002540B5" w:rsidRDefault="002540B5" w:rsidP="002540B5">
      <w:p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Le ministère a également rappelé sa politique « avant-gardiste » en la matière, avec la définition, en avril 2014, d’une stratégie nationale sur les perturbateurs endocriniens. Parmi ses actions :</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interdiction du bisphénol A dans les biberons (puis l’ensemble des contenants alimentaires),</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label volontaire pour l’arrêt de l’utilisation du bisphénol A dans les tickets thermiques (tickets de caisse et reçus de cartes bancaires). Une procédure d’interdiction réglementaire au niveau européen a été déposée par la France et est en cours d’instruction à l’agence européenne des produits chimiques,</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arrêt des épandages aériens de produits phytosanitaires à partir de fin 2015,</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lastRenderedPageBreak/>
        <w:t>arrêt de l’utilisation des produits phytosanitaires dangereux dans les collectivités à partir de fin 2016,</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évaluation de 5 substances par an qui sont suspectées d’être perturbatrices endocriniennes ou qui sont des substituts à des perturbateurs endocriniens,</w:t>
      </w:r>
    </w:p>
    <w:p w:rsidR="002540B5" w:rsidRPr="002540B5" w:rsidRDefault="002540B5" w:rsidP="0025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0B5">
        <w:rPr>
          <w:rFonts w:ascii="Times New Roman" w:eastAsia="Times New Roman" w:hAnsi="Times New Roman" w:cs="Times New Roman"/>
          <w:sz w:val="24"/>
          <w:szCs w:val="24"/>
          <w:lang w:eastAsia="fr-FR"/>
        </w:rPr>
        <w:t>campagnes de contrôles dans les objets de grande consommation, notamment dans les jouets.</w:t>
      </w:r>
    </w:p>
    <w:p w:rsidR="008A475D" w:rsidRDefault="008A475D"/>
    <w:sectPr w:rsidR="008A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E77A7"/>
    <w:multiLevelType w:val="multilevel"/>
    <w:tmpl w:val="112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5"/>
    <w:rsid w:val="002540B5"/>
    <w:rsid w:val="008A4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1BFC-A31A-4D65-B59F-F5FFEE7A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2540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27434">
      <w:bodyDiv w:val="1"/>
      <w:marLeft w:val="0"/>
      <w:marRight w:val="0"/>
      <w:marTop w:val="0"/>
      <w:marBottom w:val="0"/>
      <w:divBdr>
        <w:top w:val="none" w:sz="0" w:space="0" w:color="auto"/>
        <w:left w:val="none" w:sz="0" w:space="0" w:color="auto"/>
        <w:bottom w:val="none" w:sz="0" w:space="0" w:color="auto"/>
        <w:right w:val="none" w:sz="0" w:space="0" w:color="auto"/>
      </w:divBdr>
      <w:divsChild>
        <w:div w:id="14785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 barbeyrac</dc:creator>
  <cp:keywords/>
  <dc:description/>
  <cp:lastModifiedBy>guy de barbeyrac</cp:lastModifiedBy>
  <cp:revision>1</cp:revision>
  <dcterms:created xsi:type="dcterms:W3CDTF">2015-03-08T18:58:00Z</dcterms:created>
  <dcterms:modified xsi:type="dcterms:W3CDTF">2015-03-08T18:59:00Z</dcterms:modified>
</cp:coreProperties>
</file>