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9A" w:rsidRDefault="0095189A">
      <w:pPr>
        <w:pStyle w:val="Standard"/>
        <w:pBdr>
          <w:bottom w:val="single" w:sz="8" w:space="0" w:color="000001"/>
        </w:pBdr>
        <w:spacing w:after="0"/>
        <w:jc w:val="center"/>
      </w:pPr>
      <w:r>
        <w:rPr>
          <w:b/>
          <w:color w:val="000000"/>
          <w:sz w:val="48"/>
          <w:szCs w:val="48"/>
        </w:rPr>
        <w:t>LA LGV NE PASSERA PAS PAR NOUS !!!</w:t>
      </w:r>
    </w:p>
    <w:p w:rsidR="0095189A" w:rsidRDefault="0095189A">
      <w:pPr>
        <w:pStyle w:val="Standard"/>
        <w:spacing w:after="0"/>
        <w:jc w:val="center"/>
      </w:pPr>
    </w:p>
    <w:p w:rsidR="0095189A" w:rsidRDefault="0095189A" w:rsidP="005E657D">
      <w:pPr>
        <w:pStyle w:val="Standard"/>
        <w:jc w:val="both"/>
      </w:pPr>
      <w:r>
        <w:rPr>
          <w:b/>
          <w:color w:val="000000"/>
          <w:sz w:val="24"/>
          <w:szCs w:val="24"/>
        </w:rPr>
        <w:t>DU 14 OCTOBRE AU 8 DECEMBRE 2014,</w:t>
      </w:r>
      <w:r>
        <w:rPr>
          <w:color w:val="000000"/>
          <w:sz w:val="24"/>
          <w:szCs w:val="24"/>
        </w:rPr>
        <w:t xml:space="preserve"> à l’occasion de l’enquête publique, par dizaines, par centaines, par milliers, </w:t>
      </w:r>
      <w:r>
        <w:rPr>
          <w:b/>
          <w:color w:val="000000"/>
          <w:sz w:val="24"/>
          <w:szCs w:val="24"/>
        </w:rPr>
        <w:t>nous devons nous opposer</w:t>
      </w:r>
      <w:r w:rsidRPr="004566F5">
        <w:rPr>
          <w:color w:val="000000"/>
          <w:sz w:val="24"/>
          <w:szCs w:val="24"/>
        </w:rPr>
        <w:t>,</w:t>
      </w:r>
      <w:r>
        <w:rPr>
          <w:b/>
          <w:color w:val="000000"/>
          <w:sz w:val="24"/>
          <w:szCs w:val="24"/>
        </w:rPr>
        <w:t xml:space="preserve"> </w:t>
      </w:r>
      <w:r>
        <w:rPr>
          <w:color w:val="000000"/>
          <w:sz w:val="24"/>
          <w:szCs w:val="24"/>
        </w:rPr>
        <w:t>dans l’intérêt général et quel que soit notre lieu d’habitation, au Grand Projet ferroviaire du Sud-Ouest et dénoncer l'aberration que constituerait la construction des lignes à grande vitesse Bordeaux-Toulouse et Bordeaux-Dax.</w:t>
      </w:r>
    </w:p>
    <w:p w:rsidR="0095189A" w:rsidRDefault="0095189A" w:rsidP="005E657D">
      <w:pPr>
        <w:pStyle w:val="Standard"/>
        <w:jc w:val="both"/>
      </w:pPr>
      <w:r w:rsidRPr="005E657D">
        <w:rPr>
          <w:color w:val="000000"/>
          <w:sz w:val="24"/>
          <w:szCs w:val="24"/>
        </w:rPr>
        <w:t>Dan</w:t>
      </w:r>
      <w:r>
        <w:rPr>
          <w:b/>
          <w:color w:val="000000"/>
          <w:sz w:val="24"/>
          <w:szCs w:val="24"/>
        </w:rPr>
        <w:t xml:space="preserve">s les mairies de toutes les communes concernées par le tracé </w:t>
      </w:r>
      <w:r>
        <w:rPr>
          <w:color w:val="000000"/>
          <w:sz w:val="24"/>
          <w:szCs w:val="24"/>
        </w:rPr>
        <w:t xml:space="preserve">(24 en Gironde), par courrier, par mail, en écrivant dans les registres aux heures habituelles d’ouverture, en rencontrant, pour les plus motivés, les commissaires enquêteurs lors de leur passage, </w:t>
      </w:r>
      <w:r>
        <w:rPr>
          <w:b/>
          <w:bCs/>
          <w:color w:val="000000"/>
          <w:sz w:val="24"/>
          <w:szCs w:val="24"/>
        </w:rPr>
        <w:t>manifestons</w:t>
      </w:r>
      <w:r>
        <w:rPr>
          <w:b/>
          <w:color w:val="000000"/>
          <w:sz w:val="24"/>
          <w:szCs w:val="24"/>
        </w:rPr>
        <w:t xml:space="preserve"> notre opposition, nos griefs, nos remarques ,</w:t>
      </w:r>
      <w:r>
        <w:rPr>
          <w:b/>
          <w:bCs/>
          <w:color w:val="000000"/>
          <w:sz w:val="24"/>
          <w:szCs w:val="24"/>
        </w:rPr>
        <w:t xml:space="preserve"> nos interrogations</w:t>
      </w:r>
      <w:r>
        <w:rPr>
          <w:color w:val="000000"/>
          <w:sz w:val="24"/>
          <w:szCs w:val="24"/>
        </w:rPr>
        <w:t xml:space="preserve"> </w:t>
      </w:r>
      <w:r>
        <w:rPr>
          <w:rFonts w:eastAsia="Times New Roman" w:cs="Helvetica"/>
          <w:color w:val="000000"/>
          <w:sz w:val="24"/>
          <w:szCs w:val="24"/>
        </w:rPr>
        <w:t>à l'aide de remarques, personnelles ou générales, de portée locale ou plus large ou en reprenant les arguments développés ci-dessous.</w:t>
      </w:r>
    </w:p>
    <w:p w:rsidR="0095189A" w:rsidRDefault="0095189A" w:rsidP="001C7D29">
      <w:pPr>
        <w:pStyle w:val="Standard"/>
        <w:pBdr>
          <w:top w:val="single" w:sz="4" w:space="1" w:color="auto"/>
          <w:left w:val="single" w:sz="4" w:space="4" w:color="auto"/>
          <w:bottom w:val="single" w:sz="4" w:space="1" w:color="auto"/>
          <w:right w:val="single" w:sz="4" w:space="4" w:color="auto"/>
        </w:pBdr>
        <w:spacing w:after="120"/>
        <w:jc w:val="both"/>
      </w:pPr>
      <w:r>
        <w:rPr>
          <w:b/>
          <w:bCs/>
          <w:color w:val="000000"/>
          <w:sz w:val="24"/>
          <w:szCs w:val="24"/>
        </w:rPr>
        <w:t>Il est très important de préciser clairement dans nos contributions que nous sommes opposés à la construction des LGV Bordeaux-Toulouse et Bordeaux-Espagne.</w:t>
      </w:r>
    </w:p>
    <w:p w:rsidR="0095189A" w:rsidRDefault="0095189A" w:rsidP="005E657D">
      <w:pPr>
        <w:pStyle w:val="Standard"/>
        <w:spacing w:after="0"/>
        <w:jc w:val="both"/>
      </w:pPr>
      <w:r>
        <w:rPr>
          <w:color w:val="000000"/>
          <w:sz w:val="24"/>
          <w:szCs w:val="24"/>
        </w:rPr>
        <w:t>Les renseignements utiles concernant le projet, l’enquête et toutes les formes de participation à celle-ci peuvent être trouvés sur les sites :</w:t>
      </w:r>
    </w:p>
    <w:p w:rsidR="0095189A" w:rsidRPr="0076605B" w:rsidRDefault="0095189A" w:rsidP="005E657D">
      <w:pPr>
        <w:pStyle w:val="Standard"/>
        <w:spacing w:after="0"/>
        <w:jc w:val="both"/>
        <w:rPr>
          <w:b/>
          <w:color w:val="auto"/>
        </w:rPr>
      </w:pPr>
      <w:hyperlink r:id="rId5" w:history="1">
        <w:r w:rsidRPr="0076605B">
          <w:rPr>
            <w:rStyle w:val="Hyperlink"/>
            <w:rFonts w:cs="Calibri"/>
            <w:b/>
          </w:rPr>
          <w:t>http://www.gironde.gouv.fr/Publications/Publications-legales/Grand-Projet-Ferroviaire-du-Sud-Ouest-GPSO</w:t>
        </w:r>
      </w:hyperlink>
    </w:p>
    <w:p w:rsidR="0095189A" w:rsidRDefault="0095189A" w:rsidP="005E657D">
      <w:pPr>
        <w:pStyle w:val="Standard"/>
        <w:spacing w:after="0"/>
        <w:jc w:val="both"/>
      </w:pPr>
      <w:hyperlink r:id="rId6" w:history="1">
        <w:r w:rsidRPr="0076605B">
          <w:rPr>
            <w:rStyle w:val="Hyperlink"/>
            <w:rFonts w:cs="Calibri"/>
            <w:b/>
            <w:bCs/>
            <w:sz w:val="24"/>
            <w:szCs w:val="24"/>
            <w:lang w:eastAsia="fr-FR"/>
          </w:rPr>
          <w:t>http://www.gpso.fr</w:t>
        </w:r>
      </w:hyperlink>
      <w:r>
        <w:rPr>
          <w:color w:val="000000"/>
          <w:sz w:val="24"/>
          <w:szCs w:val="24"/>
        </w:rPr>
        <w:t xml:space="preserve"> </w:t>
      </w:r>
      <w:r w:rsidRPr="0076605B">
        <w:rPr>
          <w:color w:val="000000"/>
          <w:sz w:val="24"/>
          <w:szCs w:val="24"/>
        </w:rPr>
        <w:t xml:space="preserve"> </w:t>
      </w:r>
      <w:r>
        <w:rPr>
          <w:color w:val="000000"/>
          <w:sz w:val="24"/>
          <w:szCs w:val="24"/>
        </w:rPr>
        <w:t xml:space="preserve">(infos sur le projet GPSO, cartes du tracé des LGV par communes, détails sur le dossier d'Enquête Publique, ….) </w:t>
      </w:r>
    </w:p>
    <w:p w:rsidR="0095189A" w:rsidRDefault="0095189A" w:rsidP="005E657D">
      <w:pPr>
        <w:pStyle w:val="Standard"/>
        <w:spacing w:before="120" w:after="0"/>
        <w:jc w:val="both"/>
      </w:pPr>
      <w:r>
        <w:rPr>
          <w:color w:val="000000"/>
          <w:sz w:val="24"/>
          <w:szCs w:val="24"/>
        </w:rPr>
        <w:t>Vous trouverez d’autres informations sur les sites des associations :</w:t>
      </w:r>
    </w:p>
    <w:p w:rsidR="0095189A" w:rsidRDefault="0095189A" w:rsidP="005E657D">
      <w:pPr>
        <w:pStyle w:val="Standard"/>
        <w:spacing w:after="0"/>
        <w:jc w:val="both"/>
        <w:rPr>
          <w:rStyle w:val="LienInternet"/>
          <w:rFonts w:cs="Calibri"/>
          <w:color w:val="000000"/>
          <w:sz w:val="24"/>
          <w:szCs w:val="24"/>
          <w:u w:val="none"/>
          <w:lang w:val="en-US"/>
        </w:rPr>
      </w:pPr>
      <w:r w:rsidRPr="00192CE7">
        <w:rPr>
          <w:b/>
          <w:color w:val="000000"/>
          <w:sz w:val="24"/>
          <w:szCs w:val="24"/>
          <w:lang w:val="en-US"/>
        </w:rPr>
        <w:t>LEA</w:t>
      </w:r>
      <w:r>
        <w:rPr>
          <w:color w:val="000000"/>
          <w:sz w:val="24"/>
          <w:szCs w:val="24"/>
          <w:lang w:val="en-US"/>
        </w:rPr>
        <w:t xml:space="preserve">- </w:t>
      </w:r>
      <w:hyperlink r:id="rId7" w:history="1">
        <w:r w:rsidRPr="0076605B">
          <w:rPr>
            <w:rStyle w:val="Hyperlink"/>
            <w:rFonts w:cs="Calibri"/>
            <w:b/>
            <w:sz w:val="24"/>
            <w:szCs w:val="24"/>
            <w:lang w:val="en-US" w:eastAsia="fr-FR"/>
          </w:rPr>
          <w:t>http://lea.asso.free.fr</w:t>
        </w:r>
      </w:hyperlink>
      <w:r>
        <w:rPr>
          <w:rStyle w:val="LienInternet"/>
          <w:rFonts w:cs="Calibri"/>
          <w:color w:val="000000"/>
          <w:sz w:val="24"/>
          <w:szCs w:val="24"/>
          <w:u w:val="none"/>
          <w:lang w:val="en-US"/>
        </w:rPr>
        <w:t xml:space="preserve"> </w:t>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r>
      <w:r>
        <w:rPr>
          <w:color w:val="000000"/>
          <w:sz w:val="24"/>
          <w:szCs w:val="24"/>
          <w:lang w:val="en-US"/>
        </w:rPr>
        <w:tab/>
        <w:t xml:space="preserve">        </w:t>
      </w:r>
      <w:r>
        <w:rPr>
          <w:color w:val="000000"/>
          <w:sz w:val="24"/>
          <w:szCs w:val="24"/>
          <w:lang w:val="en-US"/>
        </w:rPr>
        <w:tab/>
        <w:t xml:space="preserve">         </w:t>
      </w:r>
      <w:r w:rsidRPr="00192CE7">
        <w:rPr>
          <w:b/>
          <w:color w:val="000000"/>
          <w:sz w:val="24"/>
          <w:szCs w:val="24"/>
          <w:lang w:val="en-US"/>
        </w:rPr>
        <w:t>LGVEA</w:t>
      </w:r>
      <w:r>
        <w:rPr>
          <w:color w:val="000000"/>
          <w:sz w:val="24"/>
          <w:szCs w:val="24"/>
          <w:lang w:val="en-US"/>
        </w:rPr>
        <w:t>-</w:t>
      </w:r>
      <w:hyperlink r:id="rId8" w:history="1">
        <w:r w:rsidRPr="0076605B">
          <w:rPr>
            <w:rStyle w:val="Hyperlink"/>
            <w:rFonts w:cs="Calibri"/>
            <w:b/>
            <w:sz w:val="24"/>
            <w:szCs w:val="24"/>
            <w:lang w:val="en-US" w:eastAsia="fr-FR"/>
          </w:rPr>
          <w:t>http://lgvea.over-blog.com/</w:t>
        </w:r>
      </w:hyperlink>
      <w:r>
        <w:rPr>
          <w:rStyle w:val="LienInternet"/>
          <w:rFonts w:cs="Calibri"/>
          <w:color w:val="000000"/>
          <w:sz w:val="24"/>
          <w:szCs w:val="24"/>
          <w:u w:val="none"/>
          <w:lang w:val="en-US"/>
        </w:rPr>
        <w:t xml:space="preserve"> </w:t>
      </w:r>
    </w:p>
    <w:p w:rsidR="0095189A" w:rsidRPr="00E25526" w:rsidRDefault="0095189A" w:rsidP="005E657D">
      <w:pPr>
        <w:pStyle w:val="Standard"/>
        <w:spacing w:after="0"/>
        <w:jc w:val="both"/>
        <w:rPr>
          <w:color w:val="000000"/>
          <w:sz w:val="24"/>
          <w:szCs w:val="24"/>
        </w:rPr>
      </w:pPr>
      <w:r w:rsidRPr="00192CE7">
        <w:rPr>
          <w:b/>
          <w:color w:val="000000"/>
          <w:sz w:val="24"/>
          <w:szCs w:val="24"/>
        </w:rPr>
        <w:t>LGPE</w:t>
      </w:r>
      <w:r>
        <w:rPr>
          <w:color w:val="000000"/>
          <w:sz w:val="24"/>
          <w:szCs w:val="24"/>
        </w:rPr>
        <w:t xml:space="preserve">- </w:t>
      </w:r>
      <w:hyperlink r:id="rId9" w:history="1">
        <w:r w:rsidRPr="0076605B">
          <w:rPr>
            <w:rStyle w:val="Hyperlink"/>
            <w:rFonts w:cs="Calibri"/>
            <w:b/>
            <w:sz w:val="24"/>
            <w:szCs w:val="24"/>
            <w:lang w:eastAsia="fr-FR"/>
          </w:rPr>
          <w:t>http://www.lgpe.fr</w:t>
        </w:r>
      </w:hyperlink>
      <w:r>
        <w:rPr>
          <w:rStyle w:val="LienInternet"/>
          <w:rFonts w:cs="Calibri"/>
          <w:color w:val="000000"/>
          <w:sz w:val="24"/>
          <w:szCs w:val="24"/>
          <w:u w:val="none"/>
        </w:rPr>
        <w:t xml:space="preserve">   </w:t>
      </w:r>
      <w:r w:rsidRPr="003A7D3A">
        <w:rPr>
          <w:rStyle w:val="LienInternet"/>
          <w:rFonts w:cs="Calibri"/>
          <w:color w:val="000000"/>
          <w:sz w:val="24"/>
          <w:szCs w:val="24"/>
          <w:u w:val="none"/>
        </w:rPr>
        <w:tab/>
      </w:r>
      <w:r w:rsidRPr="003A7D3A">
        <w:rPr>
          <w:rStyle w:val="LienInternet"/>
          <w:rFonts w:cs="Calibri"/>
          <w:color w:val="000000"/>
          <w:sz w:val="24"/>
          <w:szCs w:val="24"/>
          <w:u w:val="none"/>
        </w:rPr>
        <w:tab/>
      </w:r>
      <w:r w:rsidRPr="003A7D3A">
        <w:rPr>
          <w:rStyle w:val="LienInternet"/>
          <w:rFonts w:cs="Calibri"/>
          <w:color w:val="000000"/>
          <w:sz w:val="24"/>
          <w:szCs w:val="24"/>
          <w:u w:val="none"/>
        </w:rPr>
        <w:tab/>
      </w:r>
      <w:r w:rsidRPr="003A7D3A">
        <w:rPr>
          <w:rStyle w:val="LienInternet"/>
          <w:rFonts w:cs="Calibri"/>
          <w:color w:val="000000"/>
          <w:sz w:val="24"/>
          <w:szCs w:val="24"/>
          <w:u w:val="none"/>
        </w:rPr>
        <w:tab/>
      </w:r>
      <w:r w:rsidRPr="00192CE7">
        <w:rPr>
          <w:b/>
          <w:color w:val="000000"/>
          <w:sz w:val="24"/>
          <w:szCs w:val="24"/>
        </w:rPr>
        <w:t>SEPANSO</w:t>
      </w:r>
      <w:r>
        <w:rPr>
          <w:b/>
          <w:color w:val="000000"/>
          <w:sz w:val="24"/>
          <w:szCs w:val="24"/>
        </w:rPr>
        <w:t xml:space="preserve"> </w:t>
      </w:r>
      <w:r w:rsidRPr="00192CE7">
        <w:rPr>
          <w:b/>
          <w:color w:val="000000"/>
          <w:sz w:val="24"/>
          <w:szCs w:val="24"/>
        </w:rPr>
        <w:t>Gironde</w:t>
      </w:r>
      <w:r w:rsidRPr="00E25526">
        <w:rPr>
          <w:color w:val="000000"/>
          <w:sz w:val="24"/>
          <w:szCs w:val="24"/>
        </w:rPr>
        <w:t xml:space="preserve">- </w:t>
      </w:r>
      <w:hyperlink r:id="rId10" w:history="1">
        <w:r w:rsidRPr="0076605B">
          <w:rPr>
            <w:rStyle w:val="Hyperlink"/>
            <w:rFonts w:cs="Calibri"/>
            <w:b/>
            <w:sz w:val="24"/>
            <w:szCs w:val="24"/>
            <w:lang w:eastAsia="fr-FR"/>
          </w:rPr>
          <w:t>http://www.sepanso.org/gironde/</w:t>
        </w:r>
      </w:hyperlink>
      <w:r>
        <w:rPr>
          <w:rStyle w:val="LienInternet"/>
          <w:rFonts w:cs="Calibri"/>
          <w:color w:val="000000"/>
          <w:sz w:val="24"/>
          <w:szCs w:val="24"/>
          <w:u w:val="none"/>
        </w:rPr>
        <w:t xml:space="preserve"> </w:t>
      </w:r>
    </w:p>
    <w:p w:rsidR="0095189A" w:rsidRPr="00E25526" w:rsidRDefault="0095189A" w:rsidP="00151856">
      <w:pPr>
        <w:pStyle w:val="Standard"/>
        <w:pBdr>
          <w:bottom w:val="single" w:sz="4" w:space="1" w:color="auto"/>
        </w:pBdr>
        <w:spacing w:after="0"/>
        <w:jc w:val="both"/>
      </w:pPr>
    </w:p>
    <w:p w:rsidR="0095189A" w:rsidRDefault="0095189A" w:rsidP="005E657D">
      <w:pPr>
        <w:pStyle w:val="Standard"/>
        <w:spacing w:before="120" w:after="0"/>
        <w:jc w:val="both"/>
      </w:pPr>
      <w:r>
        <w:rPr>
          <w:b/>
          <w:color w:val="000000"/>
          <w:sz w:val="24"/>
          <w:szCs w:val="24"/>
        </w:rPr>
        <w:t>La construction des nouvelles lignes Bordeaux-Toulouse et Bordeaux-Dax n'est pas un projet d’intérêt général : Les TGV ne concernent que 8 % des voyag</w:t>
      </w:r>
      <w:bookmarkStart w:id="0" w:name="_GoBack"/>
      <w:bookmarkEnd w:id="0"/>
      <w:r>
        <w:rPr>
          <w:b/>
          <w:color w:val="000000"/>
          <w:sz w:val="24"/>
          <w:szCs w:val="24"/>
        </w:rPr>
        <w:t>eurs pour qui existent déjà des solutions de déplacement.</w:t>
      </w:r>
    </w:p>
    <w:p w:rsidR="0095189A" w:rsidRDefault="0095189A" w:rsidP="005E657D">
      <w:pPr>
        <w:pStyle w:val="Standard"/>
        <w:spacing w:before="120" w:after="0"/>
        <w:jc w:val="both"/>
      </w:pPr>
      <w:r>
        <w:rPr>
          <w:b/>
          <w:color w:val="000000"/>
          <w:sz w:val="24"/>
          <w:szCs w:val="24"/>
        </w:rPr>
        <w:t>Par contre, cette construction provoquerait des nuisances de portée générale qui affecteraient la collectivité :</w:t>
      </w:r>
    </w:p>
    <w:p w:rsidR="0095189A" w:rsidRDefault="0095189A" w:rsidP="003A7D3A">
      <w:pPr>
        <w:pStyle w:val="ListParagraph"/>
        <w:numPr>
          <w:ilvl w:val="0"/>
          <w:numId w:val="1"/>
        </w:numPr>
        <w:spacing w:before="120" w:after="0"/>
        <w:ind w:left="357" w:hanging="357"/>
        <w:contextualSpacing w:val="0"/>
        <w:jc w:val="both"/>
      </w:pPr>
      <w:r>
        <w:rPr>
          <w:b/>
          <w:color w:val="000000"/>
          <w:sz w:val="24"/>
          <w:szCs w:val="24"/>
          <w:u w:val="single"/>
        </w:rPr>
        <w:t>Elle serait ruineuse :</w:t>
      </w:r>
    </w:p>
    <w:p w:rsidR="0095189A" w:rsidRDefault="0095189A" w:rsidP="00092975">
      <w:pPr>
        <w:pStyle w:val="ListParagraph"/>
        <w:numPr>
          <w:ilvl w:val="0"/>
          <w:numId w:val="5"/>
        </w:numPr>
        <w:spacing w:before="120" w:after="0"/>
        <w:contextualSpacing w:val="0"/>
        <w:jc w:val="both"/>
      </w:pPr>
      <w:r>
        <w:rPr>
          <w:rFonts w:eastAsia="Times New Roman" w:cs="Helvetica"/>
          <w:color w:val="000000"/>
          <w:sz w:val="24"/>
          <w:szCs w:val="24"/>
        </w:rPr>
        <w:t>Le coût de la réalisation des 2 nouvelles lignes est annoncé à</w:t>
      </w:r>
      <w:r>
        <w:rPr>
          <w:rFonts w:eastAsia="Times New Roman" w:cs="Helvetica"/>
          <w:b/>
          <w:bCs/>
          <w:color w:val="000000"/>
          <w:sz w:val="24"/>
          <w:szCs w:val="24"/>
        </w:rPr>
        <w:t xml:space="preserve"> 8,037 milliards €,</w:t>
      </w:r>
      <w:r>
        <w:rPr>
          <w:rFonts w:eastAsia="Times New Roman" w:cs="Helvetica"/>
          <w:color w:val="000000"/>
          <w:sz w:val="24"/>
          <w:szCs w:val="24"/>
        </w:rPr>
        <w:t xml:space="preserve"> valeur 2011 non actualisée. La totalité du projet GPSO Bordeaux-Toulouse et Bordeaux-Espagne est chiffré à plus de </w:t>
      </w:r>
      <w:r>
        <w:rPr>
          <w:rFonts w:eastAsia="Times New Roman" w:cs="Helvetica"/>
          <w:b/>
          <w:bCs/>
          <w:color w:val="000000"/>
          <w:sz w:val="24"/>
          <w:szCs w:val="24"/>
        </w:rPr>
        <w:t>13 milliards €</w:t>
      </w:r>
      <w:r>
        <w:rPr>
          <w:rFonts w:eastAsia="Times New Roman" w:cs="Helvetica"/>
          <w:color w:val="000000"/>
          <w:sz w:val="24"/>
          <w:szCs w:val="24"/>
        </w:rPr>
        <w:t xml:space="preserve"> sachant que les estimations d'avant travaux sont chaque fois largement dépassées. En fait, on ne sait ni quel serait le montant réel des travaux ni qui seraient les contributeurs (contribuables, usagers ou autres).</w:t>
      </w:r>
    </w:p>
    <w:p w:rsidR="0095189A" w:rsidRDefault="0095189A" w:rsidP="00092975">
      <w:pPr>
        <w:pStyle w:val="ListParagraph"/>
        <w:numPr>
          <w:ilvl w:val="0"/>
          <w:numId w:val="5"/>
        </w:numPr>
        <w:spacing w:before="120" w:after="0"/>
        <w:contextualSpacing w:val="0"/>
        <w:jc w:val="both"/>
      </w:pPr>
      <w:r>
        <w:rPr>
          <w:color w:val="000000"/>
          <w:sz w:val="24"/>
          <w:szCs w:val="24"/>
        </w:rPr>
        <w:t xml:space="preserve">Les investissements de ce type </w:t>
      </w:r>
      <w:r>
        <w:rPr>
          <w:b/>
          <w:bCs/>
          <w:color w:val="000000"/>
          <w:sz w:val="24"/>
          <w:szCs w:val="24"/>
        </w:rPr>
        <w:t>ne sont rentables</w:t>
      </w:r>
      <w:r>
        <w:rPr>
          <w:color w:val="000000"/>
          <w:sz w:val="24"/>
          <w:szCs w:val="24"/>
        </w:rPr>
        <w:t xml:space="preserve"> ni pour les gestionnaires ni pour les usagers potentiels (endettement à long terme induisant une inflation du prix du billet excluant de ce fait les usagers les plus modestes).</w:t>
      </w:r>
    </w:p>
    <w:p w:rsidR="0095189A" w:rsidRDefault="0095189A" w:rsidP="00092975">
      <w:pPr>
        <w:pStyle w:val="ListParagraph"/>
        <w:numPr>
          <w:ilvl w:val="0"/>
          <w:numId w:val="5"/>
        </w:numPr>
        <w:spacing w:before="120" w:after="0"/>
        <w:contextualSpacing w:val="0"/>
        <w:jc w:val="both"/>
      </w:pPr>
      <w:r>
        <w:rPr>
          <w:color w:val="000000"/>
          <w:sz w:val="24"/>
          <w:szCs w:val="24"/>
        </w:rPr>
        <w:t xml:space="preserve">Ces chantiers n’entraînent localement que des </w:t>
      </w:r>
      <w:r>
        <w:rPr>
          <w:b/>
          <w:bCs/>
          <w:color w:val="000000"/>
          <w:sz w:val="24"/>
          <w:szCs w:val="24"/>
        </w:rPr>
        <w:t>emplois temporaires</w:t>
      </w:r>
      <w:r>
        <w:rPr>
          <w:color w:val="000000"/>
          <w:sz w:val="24"/>
          <w:szCs w:val="24"/>
        </w:rPr>
        <w:t>, les emplois qualifiés étant directement pourvus par les équipes des grands groupes du BTP.</w:t>
      </w:r>
    </w:p>
    <w:p w:rsidR="0095189A" w:rsidRPr="00092975" w:rsidRDefault="0095189A" w:rsidP="00092975">
      <w:pPr>
        <w:pStyle w:val="ListParagraph"/>
        <w:numPr>
          <w:ilvl w:val="0"/>
          <w:numId w:val="5"/>
        </w:numPr>
        <w:spacing w:before="120" w:after="0"/>
        <w:contextualSpacing w:val="0"/>
        <w:jc w:val="both"/>
      </w:pPr>
      <w:r w:rsidRPr="00092975">
        <w:rPr>
          <w:color w:val="000000"/>
          <w:sz w:val="24"/>
          <w:szCs w:val="24"/>
        </w:rPr>
        <w:t xml:space="preserve">Ces travaux se feraient </w:t>
      </w:r>
      <w:r w:rsidRPr="00092975">
        <w:rPr>
          <w:b/>
          <w:bCs/>
          <w:color w:val="000000"/>
          <w:sz w:val="24"/>
          <w:szCs w:val="24"/>
        </w:rPr>
        <w:t>au détriment de la maintenance et de l’amélioration des voies existantes</w:t>
      </w:r>
      <w:r w:rsidRPr="00092975">
        <w:rPr>
          <w:color w:val="000000"/>
          <w:sz w:val="24"/>
          <w:szCs w:val="24"/>
        </w:rPr>
        <w:t xml:space="preserve"> qui, elle, coûterait 4 fois moins cher.</w:t>
      </w:r>
    </w:p>
    <w:p w:rsidR="0095189A" w:rsidRPr="00092975" w:rsidRDefault="0095189A" w:rsidP="00092975">
      <w:pPr>
        <w:pStyle w:val="ListParagraph"/>
        <w:numPr>
          <w:ilvl w:val="0"/>
          <w:numId w:val="4"/>
        </w:numPr>
        <w:spacing w:before="120" w:after="0"/>
        <w:contextualSpacing w:val="0"/>
        <w:jc w:val="both"/>
      </w:pPr>
      <w:r w:rsidRPr="00092975">
        <w:rPr>
          <w:b/>
          <w:color w:val="000000"/>
          <w:sz w:val="24"/>
          <w:szCs w:val="24"/>
          <w:u w:val="single"/>
        </w:rPr>
        <w:t>Elle serait dévastatrice :</w:t>
      </w:r>
    </w:p>
    <w:p w:rsidR="0095189A" w:rsidRDefault="0095189A" w:rsidP="00092975">
      <w:pPr>
        <w:pStyle w:val="ListParagraph"/>
        <w:numPr>
          <w:ilvl w:val="0"/>
          <w:numId w:val="6"/>
        </w:numPr>
        <w:spacing w:before="120" w:after="0"/>
        <w:contextualSpacing w:val="0"/>
        <w:jc w:val="both"/>
      </w:pPr>
      <w:r>
        <w:rPr>
          <w:color w:val="000000"/>
          <w:sz w:val="24"/>
          <w:szCs w:val="24"/>
        </w:rPr>
        <w:t xml:space="preserve">Cette réalisation </w:t>
      </w:r>
      <w:r w:rsidRPr="00AA66D8">
        <w:rPr>
          <w:b/>
          <w:color w:val="000000"/>
          <w:sz w:val="24"/>
          <w:szCs w:val="24"/>
        </w:rPr>
        <w:t>dénaturerait</w:t>
      </w:r>
      <w:r>
        <w:rPr>
          <w:color w:val="000000"/>
          <w:sz w:val="24"/>
          <w:szCs w:val="24"/>
        </w:rPr>
        <w:t xml:space="preserve"> </w:t>
      </w:r>
      <w:r>
        <w:rPr>
          <w:b/>
          <w:bCs/>
          <w:color w:val="000000"/>
          <w:sz w:val="24"/>
          <w:szCs w:val="24"/>
        </w:rPr>
        <w:t>4830 hectares de bois, de champs, de terres agricoles et viticoles</w:t>
      </w:r>
      <w:r>
        <w:rPr>
          <w:color w:val="000000"/>
          <w:sz w:val="24"/>
          <w:szCs w:val="24"/>
        </w:rPr>
        <w:t xml:space="preserve"> (6300 ha hectares pour la totalité du projet GPSO jusqu’à Hendaye) auxquels il faut ajouter l'impact supplémentaire lié aux travaux, gravières, lignes HT,... ceci alors que l’on déplore l’artificialisation de l’équivalent de la surface d’un département moyen tous les 7 ans en France. </w:t>
      </w:r>
    </w:p>
    <w:p w:rsidR="0095189A" w:rsidRDefault="0095189A" w:rsidP="00092975">
      <w:pPr>
        <w:pStyle w:val="ListParagraph"/>
        <w:numPr>
          <w:ilvl w:val="0"/>
          <w:numId w:val="6"/>
        </w:numPr>
        <w:spacing w:before="120" w:after="0"/>
        <w:contextualSpacing w:val="0"/>
        <w:jc w:val="both"/>
      </w:pPr>
      <w:r>
        <w:rPr>
          <w:color w:val="000000"/>
          <w:sz w:val="24"/>
          <w:szCs w:val="24"/>
        </w:rPr>
        <w:t xml:space="preserve">La balafre </w:t>
      </w:r>
      <w:r w:rsidRPr="00793D5A">
        <w:rPr>
          <w:b/>
          <w:color w:val="000000"/>
          <w:sz w:val="24"/>
          <w:szCs w:val="24"/>
        </w:rPr>
        <w:t>n’épargnerait</w:t>
      </w:r>
      <w:r>
        <w:rPr>
          <w:color w:val="000000"/>
          <w:sz w:val="24"/>
          <w:szCs w:val="24"/>
        </w:rPr>
        <w:t xml:space="preserve"> ni les </w:t>
      </w:r>
      <w:r>
        <w:rPr>
          <w:b/>
          <w:bCs/>
          <w:color w:val="000000"/>
          <w:sz w:val="24"/>
          <w:szCs w:val="24"/>
        </w:rPr>
        <w:t>zones humides</w:t>
      </w:r>
      <w:r>
        <w:rPr>
          <w:color w:val="000000"/>
          <w:sz w:val="24"/>
          <w:szCs w:val="24"/>
        </w:rPr>
        <w:t xml:space="preserve"> ni les</w:t>
      </w:r>
      <w:r>
        <w:rPr>
          <w:b/>
          <w:bCs/>
          <w:color w:val="000000"/>
          <w:sz w:val="24"/>
          <w:szCs w:val="24"/>
        </w:rPr>
        <w:t xml:space="preserve"> espaces protégés</w:t>
      </w:r>
      <w:r>
        <w:rPr>
          <w:color w:val="000000"/>
          <w:sz w:val="24"/>
          <w:szCs w:val="24"/>
        </w:rPr>
        <w:t xml:space="preserve"> (ZNIEF, Natura 2000) ni les</w:t>
      </w:r>
      <w:r>
        <w:rPr>
          <w:b/>
          <w:bCs/>
          <w:color w:val="000000"/>
          <w:sz w:val="24"/>
          <w:szCs w:val="24"/>
        </w:rPr>
        <w:t xml:space="preserve"> nappes d'eau </w:t>
      </w:r>
      <w:r>
        <w:rPr>
          <w:color w:val="000000"/>
          <w:sz w:val="24"/>
          <w:szCs w:val="24"/>
        </w:rPr>
        <w:t xml:space="preserve">et les </w:t>
      </w:r>
      <w:r>
        <w:rPr>
          <w:b/>
          <w:bCs/>
          <w:color w:val="000000"/>
          <w:sz w:val="24"/>
          <w:szCs w:val="24"/>
        </w:rPr>
        <w:t>sources</w:t>
      </w:r>
      <w:r>
        <w:rPr>
          <w:color w:val="000000"/>
          <w:sz w:val="24"/>
          <w:szCs w:val="24"/>
        </w:rPr>
        <w:t xml:space="preserve"> qui alimentent notamment la CUB (Communauté Urbaine de Bordeaux) en eau potable.</w:t>
      </w:r>
    </w:p>
    <w:p w:rsidR="0095189A" w:rsidRDefault="0095189A" w:rsidP="00092975">
      <w:pPr>
        <w:pStyle w:val="Standard"/>
        <w:numPr>
          <w:ilvl w:val="0"/>
          <w:numId w:val="6"/>
        </w:numPr>
        <w:autoSpaceDE w:val="0"/>
        <w:spacing w:before="60" w:after="0"/>
        <w:jc w:val="both"/>
      </w:pPr>
      <w:r>
        <w:rPr>
          <w:rFonts w:eastAsia="Times New Roman" w:cs="ComicSansMS"/>
          <w:color w:val="000000"/>
          <w:sz w:val="24"/>
          <w:szCs w:val="24"/>
        </w:rPr>
        <w:t xml:space="preserve">La demande de </w:t>
      </w:r>
      <w:r w:rsidRPr="00793D5A">
        <w:rPr>
          <w:rFonts w:eastAsia="Times New Roman" w:cs="ComicSansMS"/>
          <w:b/>
          <w:color w:val="000000"/>
          <w:sz w:val="24"/>
          <w:szCs w:val="24"/>
        </w:rPr>
        <w:t>30 millions de m</w:t>
      </w:r>
      <w:r w:rsidRPr="00793D5A">
        <w:rPr>
          <w:rFonts w:eastAsia="Times New Roman" w:cs="ComicSansMS"/>
          <w:b/>
          <w:color w:val="000000"/>
          <w:sz w:val="24"/>
          <w:szCs w:val="24"/>
          <w:vertAlign w:val="superscript"/>
        </w:rPr>
        <w:t>3</w:t>
      </w:r>
      <w:r w:rsidRPr="00793D5A">
        <w:rPr>
          <w:rFonts w:eastAsia="Times New Roman" w:cs="ComicSansMS"/>
          <w:b/>
          <w:color w:val="000000"/>
          <w:sz w:val="24"/>
          <w:szCs w:val="24"/>
        </w:rPr>
        <w:t xml:space="preserve"> </w:t>
      </w:r>
      <w:r w:rsidRPr="00793D5A">
        <w:rPr>
          <w:rFonts w:eastAsia="Times New Roman" w:cs="ComicSansMS"/>
          <w:color w:val="000000"/>
          <w:sz w:val="24"/>
          <w:szCs w:val="24"/>
        </w:rPr>
        <w:t>de matériaux</w:t>
      </w:r>
      <w:r w:rsidRPr="00793D5A">
        <w:rPr>
          <w:rFonts w:eastAsia="Times New Roman" w:cs="ComicSansMS"/>
          <w:b/>
          <w:color w:val="000000"/>
          <w:sz w:val="24"/>
          <w:szCs w:val="24"/>
        </w:rPr>
        <w:t xml:space="preserve"> à importer</w:t>
      </w:r>
      <w:r>
        <w:rPr>
          <w:rFonts w:eastAsia="Times New Roman" w:cs="ComicSansMS"/>
          <w:color w:val="000000"/>
          <w:sz w:val="24"/>
          <w:szCs w:val="24"/>
        </w:rPr>
        <w:t xml:space="preserve"> impliquerait l’ouverture de </w:t>
      </w:r>
      <w:r>
        <w:rPr>
          <w:rFonts w:eastAsia="Times New Roman" w:cs="ComicSansMS"/>
          <w:b/>
          <w:bCs/>
          <w:color w:val="000000"/>
          <w:sz w:val="24"/>
          <w:szCs w:val="24"/>
        </w:rPr>
        <w:t>nouvelles gravières</w:t>
      </w:r>
      <w:r>
        <w:rPr>
          <w:rFonts w:eastAsia="Times New Roman" w:cs="ComicSansMS"/>
          <w:color w:val="000000"/>
          <w:sz w:val="24"/>
          <w:szCs w:val="24"/>
        </w:rPr>
        <w:t xml:space="preserve">. La nécessité de </w:t>
      </w:r>
      <w:r w:rsidRPr="00793D5A">
        <w:rPr>
          <w:rFonts w:eastAsia="Times New Roman" w:cs="ComicSansMS"/>
          <w:b/>
          <w:color w:val="000000"/>
          <w:sz w:val="24"/>
          <w:szCs w:val="24"/>
        </w:rPr>
        <w:t>déplacer</w:t>
      </w:r>
      <w:r>
        <w:rPr>
          <w:rFonts w:eastAsia="Times New Roman" w:cs="ComicSansMS"/>
          <w:color w:val="000000"/>
          <w:sz w:val="24"/>
          <w:szCs w:val="24"/>
        </w:rPr>
        <w:t xml:space="preserve"> </w:t>
      </w:r>
      <w:r>
        <w:rPr>
          <w:rFonts w:eastAsia="Times New Roman" w:cs="ComicSansMS"/>
          <w:b/>
          <w:bCs/>
          <w:color w:val="000000"/>
          <w:sz w:val="24"/>
          <w:szCs w:val="24"/>
        </w:rPr>
        <w:t>54 millions de m</w:t>
      </w:r>
      <w:r w:rsidRPr="00F21235">
        <w:rPr>
          <w:rFonts w:eastAsia="Times New Roman" w:cs="ComicSansMS"/>
          <w:b/>
          <w:bCs/>
          <w:color w:val="000000"/>
          <w:sz w:val="24"/>
          <w:szCs w:val="24"/>
          <w:vertAlign w:val="superscript"/>
        </w:rPr>
        <w:t xml:space="preserve">3 </w:t>
      </w:r>
      <w:r>
        <w:rPr>
          <w:rFonts w:eastAsia="Times New Roman" w:cs="ComicSansMS"/>
          <w:color w:val="000000"/>
          <w:sz w:val="24"/>
          <w:szCs w:val="24"/>
        </w:rPr>
        <w:t>(remblais et déblais) impliquerait quant à elle plus de 5 millions de rotations de camions, soit plus de 2360 rotations par jour ouvré pendant la durée du chantier.</w:t>
      </w:r>
    </w:p>
    <w:p w:rsidR="0095189A" w:rsidRDefault="0095189A" w:rsidP="00092975">
      <w:pPr>
        <w:pStyle w:val="ListParagraph"/>
        <w:numPr>
          <w:ilvl w:val="0"/>
          <w:numId w:val="6"/>
        </w:numPr>
        <w:spacing w:before="60" w:after="0"/>
        <w:contextualSpacing w:val="0"/>
        <w:jc w:val="both"/>
      </w:pPr>
      <w:r>
        <w:rPr>
          <w:color w:val="000000"/>
          <w:sz w:val="24"/>
          <w:szCs w:val="24"/>
        </w:rPr>
        <w:t xml:space="preserve">Au-delà de 160 km/h, la </w:t>
      </w:r>
      <w:r>
        <w:rPr>
          <w:b/>
          <w:bCs/>
          <w:color w:val="000000"/>
          <w:sz w:val="24"/>
          <w:szCs w:val="24"/>
        </w:rPr>
        <w:t>consommation électrique</w:t>
      </w:r>
      <w:r>
        <w:rPr>
          <w:color w:val="000000"/>
          <w:sz w:val="24"/>
          <w:szCs w:val="24"/>
        </w:rPr>
        <w:t xml:space="preserve"> des trains </w:t>
      </w:r>
      <w:r w:rsidRPr="00AA66D8">
        <w:rPr>
          <w:b/>
          <w:color w:val="000000"/>
          <w:sz w:val="24"/>
          <w:szCs w:val="24"/>
        </w:rPr>
        <w:t>croit</w:t>
      </w:r>
      <w:r>
        <w:rPr>
          <w:color w:val="000000"/>
          <w:sz w:val="24"/>
          <w:szCs w:val="24"/>
        </w:rPr>
        <w:t xml:space="preserve"> proportionnellement au carré de leur vitesse et la puissance électrique demandée, au cube de cette vitesse. Les LGV nécessitent donc une </w:t>
      </w:r>
      <w:r w:rsidRPr="00AA66D8">
        <w:rPr>
          <w:b/>
          <w:color w:val="000000"/>
          <w:sz w:val="24"/>
          <w:szCs w:val="24"/>
        </w:rPr>
        <w:t>alimentation surdimensionnée</w:t>
      </w:r>
      <w:r>
        <w:rPr>
          <w:color w:val="000000"/>
          <w:sz w:val="24"/>
          <w:szCs w:val="24"/>
        </w:rPr>
        <w:t xml:space="preserve">, la production d'électricité supplémentaire et la </w:t>
      </w:r>
      <w:r w:rsidRPr="00AA66D8">
        <w:rPr>
          <w:b/>
          <w:color w:val="000000"/>
          <w:sz w:val="24"/>
          <w:szCs w:val="24"/>
        </w:rPr>
        <w:t>construction de lignes à haute tension</w:t>
      </w:r>
      <w:r>
        <w:rPr>
          <w:color w:val="000000"/>
          <w:sz w:val="24"/>
          <w:szCs w:val="24"/>
        </w:rPr>
        <w:t>.</w:t>
      </w:r>
    </w:p>
    <w:p w:rsidR="0095189A" w:rsidRDefault="0095189A" w:rsidP="00092975">
      <w:pPr>
        <w:pStyle w:val="ListParagraph"/>
        <w:numPr>
          <w:ilvl w:val="0"/>
          <w:numId w:val="6"/>
        </w:numPr>
        <w:spacing w:before="60" w:after="0"/>
        <w:contextualSpacing w:val="0"/>
        <w:jc w:val="both"/>
      </w:pPr>
      <w:r>
        <w:rPr>
          <w:color w:val="000000"/>
          <w:sz w:val="24"/>
          <w:szCs w:val="24"/>
        </w:rPr>
        <w:t>L’</w:t>
      </w:r>
      <w:r>
        <w:rPr>
          <w:b/>
          <w:bCs/>
          <w:color w:val="000000"/>
          <w:sz w:val="24"/>
          <w:szCs w:val="24"/>
        </w:rPr>
        <w:t xml:space="preserve">environnement social et humain </w:t>
      </w:r>
      <w:r>
        <w:rPr>
          <w:color w:val="000000"/>
          <w:sz w:val="24"/>
          <w:szCs w:val="24"/>
        </w:rPr>
        <w:t>serait mis à mal par le chantier en raison de la manière dont les travaux sont habituellement conduits et réalisés. La construction actuelle de la LGV Tours-Bordeaux en est un triste exemple.</w:t>
      </w:r>
    </w:p>
    <w:p w:rsidR="0095189A" w:rsidRDefault="0095189A" w:rsidP="005E657D">
      <w:pPr>
        <w:pStyle w:val="ListParagraph"/>
        <w:numPr>
          <w:ilvl w:val="0"/>
          <w:numId w:val="1"/>
        </w:numPr>
        <w:spacing w:before="120" w:after="0"/>
        <w:ind w:left="363"/>
        <w:contextualSpacing w:val="0"/>
        <w:jc w:val="both"/>
      </w:pPr>
      <w:r>
        <w:rPr>
          <w:b/>
          <w:color w:val="000000"/>
          <w:sz w:val="24"/>
          <w:szCs w:val="24"/>
          <w:u w:val="single"/>
        </w:rPr>
        <w:t>Elle est inutile :</w:t>
      </w:r>
    </w:p>
    <w:p w:rsidR="0095189A" w:rsidRDefault="0095189A" w:rsidP="00092975">
      <w:pPr>
        <w:pStyle w:val="ListParagraph"/>
        <w:numPr>
          <w:ilvl w:val="0"/>
          <w:numId w:val="7"/>
        </w:numPr>
        <w:spacing w:before="120" w:after="0"/>
        <w:contextualSpacing w:val="0"/>
        <w:jc w:val="both"/>
      </w:pPr>
      <w:r>
        <w:rPr>
          <w:color w:val="000000"/>
          <w:sz w:val="24"/>
          <w:szCs w:val="24"/>
        </w:rPr>
        <w:t>À quoi sert de faire</w:t>
      </w:r>
      <w:r>
        <w:rPr>
          <w:b/>
          <w:bCs/>
          <w:color w:val="000000"/>
          <w:sz w:val="24"/>
          <w:szCs w:val="24"/>
        </w:rPr>
        <w:t xml:space="preserve"> gagner à une minorité de voyageurs quelques minutes</w:t>
      </w:r>
      <w:r>
        <w:rPr>
          <w:color w:val="000000"/>
          <w:sz w:val="24"/>
          <w:szCs w:val="24"/>
        </w:rPr>
        <w:t xml:space="preserve"> sur un trajet à coups de milliards quand les principales pertes de temps dans les transports touchent la </w:t>
      </w:r>
      <w:r>
        <w:rPr>
          <w:b/>
          <w:bCs/>
          <w:color w:val="000000"/>
          <w:sz w:val="24"/>
          <w:szCs w:val="24"/>
        </w:rPr>
        <w:t>majorité de la population par des retards de train</w:t>
      </w:r>
      <w:r>
        <w:rPr>
          <w:color w:val="000000"/>
          <w:sz w:val="24"/>
          <w:szCs w:val="24"/>
        </w:rPr>
        <w:t xml:space="preserve"> ou la congestion des voies urbaines et périurbaines.</w:t>
      </w:r>
    </w:p>
    <w:p w:rsidR="0095189A" w:rsidRDefault="0095189A" w:rsidP="00092975">
      <w:pPr>
        <w:pStyle w:val="ListParagraph"/>
        <w:numPr>
          <w:ilvl w:val="0"/>
          <w:numId w:val="7"/>
        </w:numPr>
        <w:spacing w:before="120" w:after="0"/>
        <w:contextualSpacing w:val="0"/>
        <w:jc w:val="both"/>
      </w:pPr>
      <w:r w:rsidRPr="005E657D">
        <w:rPr>
          <w:rFonts w:eastAsia="Times New Roman" w:cs="Helvetica"/>
          <w:color w:val="000000"/>
          <w:sz w:val="24"/>
          <w:szCs w:val="24"/>
        </w:rPr>
        <w:t>Le tracé tortueux, sans vision d’une réelle utilité publique</w:t>
      </w:r>
      <w:r>
        <w:rPr>
          <w:rFonts w:eastAsia="Times New Roman" w:cs="Helvetica"/>
          <w:color w:val="000000"/>
          <w:sz w:val="24"/>
          <w:szCs w:val="24"/>
        </w:rPr>
        <w:t xml:space="preserve"> </w:t>
      </w:r>
      <w:r w:rsidRPr="005E657D">
        <w:rPr>
          <w:rFonts w:eastAsia="Times New Roman" w:cs="Helvetica"/>
          <w:color w:val="000000"/>
          <w:sz w:val="24"/>
          <w:szCs w:val="24"/>
        </w:rPr>
        <w:t>semble souvent choisi</w:t>
      </w:r>
      <w:r>
        <w:rPr>
          <w:rFonts w:eastAsia="Times New Roman" w:cs="Helvetica"/>
          <w:color w:val="000000"/>
          <w:sz w:val="24"/>
          <w:szCs w:val="24"/>
        </w:rPr>
        <w:t xml:space="preserve"> </w:t>
      </w:r>
      <w:r w:rsidRPr="005E657D">
        <w:rPr>
          <w:rFonts w:eastAsia="Times New Roman" w:cs="Helvetica"/>
          <w:color w:val="000000"/>
          <w:sz w:val="24"/>
          <w:szCs w:val="24"/>
        </w:rPr>
        <w:t>arbitrairement en fonction de stratégies et de rapports de force discutables et </w:t>
      </w:r>
      <w:r>
        <w:rPr>
          <w:rFonts w:eastAsia="Times New Roman" w:cs="Helvetica"/>
          <w:color w:val="000000"/>
          <w:sz w:val="24"/>
          <w:szCs w:val="24"/>
        </w:rPr>
        <w:t>d’intérêts particuliers douteux</w:t>
      </w:r>
      <w:r w:rsidRPr="005E657D">
        <w:rPr>
          <w:rFonts w:eastAsia="Times New Roman" w:cs="Helvetica"/>
          <w:color w:val="000000"/>
          <w:sz w:val="24"/>
          <w:szCs w:val="24"/>
        </w:rPr>
        <w:t xml:space="preserve">. </w:t>
      </w:r>
      <w:r w:rsidRPr="005E657D">
        <w:rPr>
          <w:rFonts w:ascii="Helvetica" w:eastAsia="Times New Roman" w:hAnsi="Helvetica" w:cs="Helvetica"/>
          <w:color w:val="000000"/>
          <w:sz w:val="24"/>
          <w:szCs w:val="24"/>
        </w:rPr>
        <w:t>Il parait</w:t>
      </w:r>
      <w:r w:rsidRPr="005E657D">
        <w:rPr>
          <w:color w:val="000000"/>
          <w:sz w:val="24"/>
          <w:szCs w:val="24"/>
        </w:rPr>
        <w:t xml:space="preserve"> peu compatible avec</w:t>
      </w:r>
      <w:r>
        <w:rPr>
          <w:color w:val="000000"/>
          <w:sz w:val="24"/>
          <w:szCs w:val="24"/>
        </w:rPr>
        <w:t xml:space="preserve"> </w:t>
      </w:r>
      <w:r w:rsidRPr="005E657D">
        <w:rPr>
          <w:color w:val="000000"/>
          <w:sz w:val="24"/>
          <w:szCs w:val="24"/>
        </w:rPr>
        <w:t xml:space="preserve">les impératifs de la grande vitesse alors que </w:t>
      </w:r>
      <w:r w:rsidRPr="005E657D">
        <w:rPr>
          <w:b/>
          <w:bCs/>
          <w:color w:val="000000"/>
          <w:sz w:val="24"/>
          <w:szCs w:val="24"/>
        </w:rPr>
        <w:t xml:space="preserve">l’aménagement des voies existantes </w:t>
      </w:r>
      <w:r w:rsidRPr="005E657D">
        <w:rPr>
          <w:color w:val="000000"/>
          <w:sz w:val="24"/>
          <w:szCs w:val="24"/>
        </w:rPr>
        <w:t xml:space="preserve">permettrait des performances qui s’en rapprocheraient pour un coût bien moindre (étude indépendante Claraco). </w:t>
      </w:r>
    </w:p>
    <w:p w:rsidR="0095189A" w:rsidRDefault="0095189A" w:rsidP="00092975">
      <w:pPr>
        <w:pStyle w:val="ListParagraph"/>
        <w:numPr>
          <w:ilvl w:val="0"/>
          <w:numId w:val="7"/>
        </w:numPr>
        <w:spacing w:before="120" w:after="0"/>
        <w:contextualSpacing w:val="0"/>
        <w:jc w:val="both"/>
      </w:pPr>
      <w:r>
        <w:rPr>
          <w:color w:val="000000"/>
          <w:sz w:val="24"/>
          <w:szCs w:val="24"/>
        </w:rPr>
        <w:t xml:space="preserve">Les nombreux rapports (Auxiette, Bianco, Rivier), les documentaires télévisés et journaux (C’est dans l’air, Pièces à conviction, Théma, Complément d’enquête, Libération, Le Monde, Sud-Ouest) précisent chaque jour un peu plus la </w:t>
      </w:r>
      <w:r>
        <w:rPr>
          <w:b/>
          <w:bCs/>
          <w:color w:val="000000"/>
          <w:sz w:val="24"/>
          <w:szCs w:val="24"/>
        </w:rPr>
        <w:t>non-rentabilité des LGV</w:t>
      </w:r>
      <w:r>
        <w:rPr>
          <w:color w:val="000000"/>
          <w:sz w:val="24"/>
          <w:szCs w:val="24"/>
        </w:rPr>
        <w:t xml:space="preserve">, leur incapacité à redynamiser économiquement les régions, ne profitant éventuellement qu’aux grandes métropoles situées en bout de ligne et </w:t>
      </w:r>
      <w:r>
        <w:rPr>
          <w:b/>
          <w:bCs/>
          <w:color w:val="000000"/>
          <w:sz w:val="24"/>
          <w:szCs w:val="24"/>
        </w:rPr>
        <w:t>dévitalisant les régions intermédiaires</w:t>
      </w:r>
      <w:r>
        <w:rPr>
          <w:color w:val="000000"/>
          <w:sz w:val="24"/>
          <w:szCs w:val="24"/>
        </w:rPr>
        <w:t>.</w:t>
      </w:r>
    </w:p>
    <w:p w:rsidR="0095189A" w:rsidRDefault="0095189A" w:rsidP="00092975">
      <w:pPr>
        <w:pStyle w:val="ListParagraph"/>
        <w:numPr>
          <w:ilvl w:val="0"/>
          <w:numId w:val="7"/>
        </w:numPr>
        <w:spacing w:before="120" w:after="0"/>
        <w:contextualSpacing w:val="0"/>
        <w:jc w:val="both"/>
      </w:pPr>
      <w:r>
        <w:rPr>
          <w:color w:val="000000"/>
          <w:sz w:val="24"/>
          <w:szCs w:val="24"/>
        </w:rPr>
        <w:t xml:space="preserve">La recherche de possibilités de </w:t>
      </w:r>
      <w:r>
        <w:rPr>
          <w:b/>
          <w:bCs/>
          <w:color w:val="000000"/>
          <w:sz w:val="24"/>
          <w:szCs w:val="24"/>
        </w:rPr>
        <w:t>relocaliser</w:t>
      </w:r>
      <w:r>
        <w:rPr>
          <w:color w:val="000000"/>
          <w:sz w:val="24"/>
          <w:szCs w:val="24"/>
        </w:rPr>
        <w:t xml:space="preserve"> l’habitat, l’activité, la consommation est une </w:t>
      </w:r>
      <w:r>
        <w:rPr>
          <w:b/>
          <w:bCs/>
          <w:color w:val="000000"/>
          <w:sz w:val="24"/>
          <w:szCs w:val="24"/>
        </w:rPr>
        <w:t>solution plus durable</w:t>
      </w:r>
      <w:r>
        <w:rPr>
          <w:color w:val="000000"/>
          <w:sz w:val="24"/>
          <w:szCs w:val="24"/>
        </w:rPr>
        <w:t xml:space="preserve"> que la course exponentielle à la vitesse, à la mobilité, à l’éloignement, qui ne peut que finir en impasse.</w:t>
      </w:r>
    </w:p>
    <w:p w:rsidR="0095189A" w:rsidRDefault="0095189A" w:rsidP="00092975">
      <w:pPr>
        <w:pStyle w:val="ListParagraph"/>
        <w:numPr>
          <w:ilvl w:val="0"/>
          <w:numId w:val="7"/>
        </w:numPr>
        <w:spacing w:before="120" w:after="0"/>
        <w:contextualSpacing w:val="0"/>
        <w:jc w:val="both"/>
      </w:pPr>
      <w:r>
        <w:rPr>
          <w:color w:val="000000"/>
          <w:sz w:val="24"/>
          <w:szCs w:val="24"/>
        </w:rPr>
        <w:t xml:space="preserve">Loin de réduire l’usage de l’avion ou de la voiture, les créations de LGV entraînent une telle </w:t>
      </w:r>
      <w:r>
        <w:rPr>
          <w:b/>
          <w:bCs/>
          <w:color w:val="000000"/>
          <w:sz w:val="24"/>
          <w:szCs w:val="24"/>
        </w:rPr>
        <w:t>augmentation des prix</w:t>
      </w:r>
      <w:r>
        <w:rPr>
          <w:color w:val="000000"/>
          <w:sz w:val="24"/>
          <w:szCs w:val="24"/>
        </w:rPr>
        <w:t xml:space="preserve"> que certains voyageurs abandonnent le train pour des modes de transports moins onéreux mais plus polluants.</w:t>
      </w:r>
    </w:p>
    <w:p w:rsidR="0095189A" w:rsidRDefault="0095189A" w:rsidP="005E657D">
      <w:pPr>
        <w:pStyle w:val="Standard"/>
        <w:spacing w:after="0"/>
        <w:jc w:val="both"/>
      </w:pPr>
    </w:p>
    <w:p w:rsidR="0095189A" w:rsidRDefault="0095189A" w:rsidP="005E657D">
      <w:pPr>
        <w:pStyle w:val="Standard"/>
        <w:pBdr>
          <w:bottom w:val="single" w:sz="12" w:space="0" w:color="00000A"/>
        </w:pBdr>
        <w:spacing w:after="0"/>
        <w:jc w:val="both"/>
        <w:rPr>
          <w:b/>
          <w:color w:val="000000"/>
          <w:sz w:val="24"/>
          <w:szCs w:val="24"/>
        </w:rPr>
      </w:pPr>
    </w:p>
    <w:p w:rsidR="0095189A" w:rsidRDefault="0095189A" w:rsidP="005E657D">
      <w:pPr>
        <w:pStyle w:val="Standard"/>
        <w:pBdr>
          <w:bottom w:val="single" w:sz="12" w:space="0" w:color="00000A"/>
        </w:pBdr>
        <w:spacing w:after="0"/>
        <w:jc w:val="both"/>
      </w:pPr>
      <w:r>
        <w:rPr>
          <w:b/>
          <w:color w:val="000000"/>
          <w:sz w:val="24"/>
          <w:szCs w:val="24"/>
        </w:rPr>
        <w:t>L’utilité publique se mesurant juridiquement au travers du ratio coûts /avantages retirés par la collectivité, ce projet ne mérite, en aucun cas, ce qualificatif.</w:t>
      </w:r>
    </w:p>
    <w:p w:rsidR="0095189A" w:rsidRDefault="0095189A">
      <w:pPr>
        <w:pStyle w:val="Standard"/>
        <w:pBdr>
          <w:bottom w:val="single" w:sz="12" w:space="0" w:color="00000A"/>
        </w:pBdr>
        <w:spacing w:after="0"/>
      </w:pPr>
    </w:p>
    <w:p w:rsidR="0095189A" w:rsidRDefault="0095189A">
      <w:pPr>
        <w:pStyle w:val="Standard"/>
        <w:pBdr>
          <w:bottom w:val="single" w:sz="12" w:space="0" w:color="00000A"/>
        </w:pBdr>
        <w:spacing w:after="0"/>
        <w:jc w:val="center"/>
        <w:rPr>
          <w:b/>
          <w:color w:val="000000"/>
          <w:sz w:val="32"/>
          <w:szCs w:val="32"/>
        </w:rPr>
      </w:pPr>
    </w:p>
    <w:p w:rsidR="0095189A" w:rsidRDefault="0095189A">
      <w:pPr>
        <w:pStyle w:val="Standard"/>
        <w:pBdr>
          <w:bottom w:val="single" w:sz="12" w:space="0" w:color="00000A"/>
        </w:pBdr>
        <w:spacing w:after="0"/>
        <w:jc w:val="center"/>
      </w:pPr>
      <w:r>
        <w:rPr>
          <w:b/>
          <w:color w:val="000000"/>
          <w:sz w:val="32"/>
          <w:szCs w:val="32"/>
        </w:rPr>
        <w:t xml:space="preserve">Ce projet de LGV Bordeaux-Toulouse et Bordeaux-Dax </w:t>
      </w:r>
    </w:p>
    <w:p w:rsidR="0095189A" w:rsidRDefault="0095189A">
      <w:pPr>
        <w:pStyle w:val="Standard"/>
        <w:pBdr>
          <w:bottom w:val="single" w:sz="12" w:space="0" w:color="00000A"/>
        </w:pBdr>
        <w:spacing w:after="0"/>
        <w:jc w:val="center"/>
      </w:pPr>
      <w:r>
        <w:rPr>
          <w:b/>
          <w:color w:val="000000"/>
          <w:sz w:val="32"/>
          <w:szCs w:val="32"/>
        </w:rPr>
        <w:t>est inutile, ruineux et dévastateur.</w:t>
      </w:r>
      <w:r>
        <w:rPr>
          <w:b/>
          <w:strike/>
          <w:color w:val="000000"/>
          <w:sz w:val="32"/>
          <w:szCs w:val="32"/>
        </w:rPr>
        <w:t xml:space="preserve"> </w:t>
      </w:r>
    </w:p>
    <w:p w:rsidR="0095189A" w:rsidRDefault="0095189A">
      <w:pPr>
        <w:pStyle w:val="Standard"/>
        <w:pBdr>
          <w:bottom w:val="single" w:sz="12" w:space="0" w:color="00000A"/>
        </w:pBdr>
        <w:spacing w:after="0"/>
        <w:jc w:val="center"/>
        <w:rPr>
          <w:b/>
          <w:color w:val="000000"/>
          <w:sz w:val="32"/>
          <w:szCs w:val="32"/>
        </w:rPr>
      </w:pPr>
      <w:r>
        <w:rPr>
          <w:b/>
          <w:color w:val="000000"/>
          <w:sz w:val="32"/>
          <w:szCs w:val="32"/>
        </w:rPr>
        <w:t>Nous nous y opposons !</w:t>
      </w:r>
    </w:p>
    <w:p w:rsidR="0095189A" w:rsidRDefault="0095189A">
      <w:pPr>
        <w:pStyle w:val="Standard"/>
        <w:pBdr>
          <w:bottom w:val="single" w:sz="12" w:space="0" w:color="00000A"/>
        </w:pBdr>
        <w:spacing w:after="0"/>
        <w:jc w:val="center"/>
      </w:pPr>
    </w:p>
    <w:p w:rsidR="0095189A" w:rsidRDefault="0095189A">
      <w:pPr>
        <w:pStyle w:val="Standard"/>
        <w:pBdr>
          <w:bottom w:val="single" w:sz="12" w:space="0" w:color="00000A"/>
        </w:pBdr>
        <w:spacing w:after="0"/>
        <w:jc w:val="center"/>
      </w:pPr>
    </w:p>
    <w:p w:rsidR="0095189A" w:rsidRDefault="0095189A">
      <w:pPr>
        <w:pStyle w:val="Standard"/>
        <w:pBdr>
          <w:bottom w:val="single" w:sz="12" w:space="0" w:color="00000A"/>
        </w:pBdr>
        <w:spacing w:after="0"/>
        <w:jc w:val="center"/>
      </w:pPr>
    </w:p>
    <w:p w:rsidR="0095189A" w:rsidRDefault="0095189A" w:rsidP="00151856">
      <w:pPr>
        <w:pStyle w:val="Standard"/>
        <w:spacing w:before="120" w:after="0"/>
      </w:pPr>
      <w:r>
        <w:rPr>
          <w:b/>
          <w:color w:val="000000"/>
          <w:sz w:val="24"/>
          <w:szCs w:val="24"/>
        </w:rPr>
        <w:t xml:space="preserve">Coordination Vigilance LGV - BP 3 – 33 720 LANDIRAS                 </w:t>
      </w:r>
      <w:hyperlink r:id="rId11" w:history="1">
        <w:r w:rsidRPr="0076605B">
          <w:rPr>
            <w:rStyle w:val="Hyperlink"/>
            <w:rFonts w:cs="Calibri"/>
            <w:b/>
            <w:sz w:val="24"/>
            <w:szCs w:val="24"/>
          </w:rPr>
          <w:t>coordination-asso-vigilance-lgv@orange.fr</w:t>
        </w:r>
      </w:hyperlink>
      <w:r>
        <w:rPr>
          <w:b/>
          <w:color w:val="000000"/>
          <w:sz w:val="24"/>
          <w:szCs w:val="24"/>
        </w:rPr>
        <w:t xml:space="preserve">      </w:t>
      </w:r>
    </w:p>
    <w:sectPr w:rsidR="0095189A" w:rsidSect="00151856">
      <w:pgSz w:w="11906" w:h="16838"/>
      <w:pgMar w:top="567" w:right="720" w:bottom="426" w:left="720"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micSansMS">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A2"/>
    <w:multiLevelType w:val="multilevel"/>
    <w:tmpl w:val="F0906D4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896C5F"/>
    <w:multiLevelType w:val="multilevel"/>
    <w:tmpl w:val="944E06D2"/>
    <w:lvl w:ilvl="0">
      <w:start w:val="1"/>
      <w:numFmt w:val="bullet"/>
      <w:lvlText w:val=""/>
      <w:lvlJc w:val="left"/>
      <w:pPr>
        <w:ind w:left="363" w:hanging="360"/>
      </w:pPr>
      <w:rPr>
        <w:rFonts w:ascii="Symbol" w:hAnsi="Symbol" w:hint="default"/>
      </w:rPr>
    </w:lvl>
    <w:lvl w:ilvl="1">
      <w:start w:val="1"/>
      <w:numFmt w:val="bullet"/>
      <w:lvlText w:val="o"/>
      <w:lvlJc w:val="left"/>
      <w:pPr>
        <w:ind w:left="1083" w:hanging="360"/>
      </w:pPr>
      <w:rPr>
        <w:rFonts w:ascii="Courier New" w:hAnsi="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hint="default"/>
      </w:rPr>
    </w:lvl>
    <w:lvl w:ilvl="8">
      <w:start w:val="1"/>
      <w:numFmt w:val="bullet"/>
      <w:lvlText w:val=""/>
      <w:lvlJc w:val="left"/>
      <w:pPr>
        <w:ind w:left="6123" w:hanging="360"/>
      </w:pPr>
      <w:rPr>
        <w:rFonts w:ascii="Wingdings" w:hAnsi="Wingdings" w:hint="default"/>
      </w:rPr>
    </w:lvl>
  </w:abstractNum>
  <w:abstractNum w:abstractNumId="2">
    <w:nsid w:val="55DB029F"/>
    <w:multiLevelType w:val="multilevel"/>
    <w:tmpl w:val="5D26E0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B510F10"/>
    <w:multiLevelType w:val="multilevel"/>
    <w:tmpl w:val="3BC0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AD95949"/>
    <w:multiLevelType w:val="multilevel"/>
    <w:tmpl w:val="0016847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6DE372AB"/>
    <w:multiLevelType w:val="multilevel"/>
    <w:tmpl w:val="D1B0F0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872742E"/>
    <w:multiLevelType w:val="multilevel"/>
    <w:tmpl w:val="D584A666"/>
    <w:lvl w:ilvl="0">
      <w:start w:val="1"/>
      <w:numFmt w:val="bullet"/>
      <w:lvlText w:val=""/>
      <w:lvlJc w:val="left"/>
      <w:pPr>
        <w:ind w:left="717" w:hanging="360"/>
      </w:pPr>
      <w:rPr>
        <w:rFonts w:ascii="Wingdings" w:hAnsi="Wingdings"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7FE"/>
    <w:rsid w:val="00092975"/>
    <w:rsid w:val="00151856"/>
    <w:rsid w:val="00192CE7"/>
    <w:rsid w:val="001C7D29"/>
    <w:rsid w:val="003A7D3A"/>
    <w:rsid w:val="004566F5"/>
    <w:rsid w:val="00570F3A"/>
    <w:rsid w:val="005E657D"/>
    <w:rsid w:val="007105FD"/>
    <w:rsid w:val="00723922"/>
    <w:rsid w:val="0076605B"/>
    <w:rsid w:val="00793D5A"/>
    <w:rsid w:val="008D526F"/>
    <w:rsid w:val="0095189A"/>
    <w:rsid w:val="009B60A3"/>
    <w:rsid w:val="00AA66D8"/>
    <w:rsid w:val="00C54879"/>
    <w:rsid w:val="00DC04CC"/>
    <w:rsid w:val="00E25526"/>
    <w:rsid w:val="00E8391A"/>
    <w:rsid w:val="00E93101"/>
    <w:rsid w:val="00EA0FC8"/>
    <w:rsid w:val="00EC17FE"/>
    <w:rsid w:val="00F21235"/>
    <w:rsid w:val="00FD414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7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54879"/>
    <w:pPr>
      <w:suppressAutoHyphens/>
      <w:spacing w:after="160" w:line="252" w:lineRule="auto"/>
    </w:pPr>
    <w:rPr>
      <w:rFonts w:eastAsia="Arial Unicode MS" w:cs="Calibri"/>
      <w:color w:val="00000A"/>
      <w:lang w:eastAsia="en-US"/>
    </w:rPr>
  </w:style>
  <w:style w:type="character" w:customStyle="1" w:styleId="LienInternet">
    <w:name w:val="Lien Internet"/>
    <w:basedOn w:val="DefaultParagraphFont"/>
    <w:uiPriority w:val="99"/>
    <w:rsid w:val="00C54879"/>
    <w:rPr>
      <w:rFonts w:cs="Times New Roman"/>
      <w:color w:val="0563C1"/>
      <w:u w:val="single"/>
      <w:lang w:val="fr-FR" w:eastAsia="fr-FR"/>
    </w:rPr>
  </w:style>
  <w:style w:type="character" w:customStyle="1" w:styleId="ListLabel1">
    <w:name w:val="ListLabel 1"/>
    <w:uiPriority w:val="99"/>
    <w:rsid w:val="00C54879"/>
  </w:style>
  <w:style w:type="character" w:customStyle="1" w:styleId="ListLabel2">
    <w:name w:val="ListLabel 2"/>
    <w:uiPriority w:val="99"/>
    <w:rsid w:val="00C54879"/>
  </w:style>
  <w:style w:type="character" w:customStyle="1" w:styleId="ListLabel3">
    <w:name w:val="ListLabel 3"/>
    <w:uiPriority w:val="99"/>
    <w:rsid w:val="00C54879"/>
  </w:style>
  <w:style w:type="character" w:customStyle="1" w:styleId="ListLabel4">
    <w:name w:val="ListLabel 4"/>
    <w:uiPriority w:val="99"/>
    <w:rsid w:val="00C54879"/>
  </w:style>
  <w:style w:type="character" w:customStyle="1" w:styleId="ListLabel5">
    <w:name w:val="ListLabel 5"/>
    <w:uiPriority w:val="99"/>
    <w:rsid w:val="00C54879"/>
  </w:style>
  <w:style w:type="character" w:customStyle="1" w:styleId="ListLabel6">
    <w:name w:val="ListLabel 6"/>
    <w:uiPriority w:val="99"/>
    <w:rsid w:val="00C54879"/>
  </w:style>
  <w:style w:type="character" w:styleId="CommentReference">
    <w:name w:val="annotation reference"/>
    <w:basedOn w:val="DefaultParagraphFont"/>
    <w:uiPriority w:val="99"/>
    <w:rsid w:val="00C54879"/>
    <w:rPr>
      <w:rFonts w:cs="Times New Roman"/>
      <w:sz w:val="16"/>
      <w:szCs w:val="16"/>
    </w:rPr>
  </w:style>
  <w:style w:type="character" w:customStyle="1" w:styleId="CommentaireCar">
    <w:name w:val="Commentaire Car"/>
    <w:basedOn w:val="DefaultParagraphFont"/>
    <w:uiPriority w:val="99"/>
    <w:rsid w:val="00C54879"/>
    <w:rPr>
      <w:rFonts w:cs="Times New Roman"/>
      <w:sz w:val="20"/>
      <w:szCs w:val="20"/>
    </w:rPr>
  </w:style>
  <w:style w:type="character" w:customStyle="1" w:styleId="ObjetducommentaireCar">
    <w:name w:val="Objet du commentaire Car"/>
    <w:basedOn w:val="CommentaireCar"/>
    <w:uiPriority w:val="99"/>
    <w:rsid w:val="00C54879"/>
    <w:rPr>
      <w:b/>
      <w:bCs/>
    </w:rPr>
  </w:style>
  <w:style w:type="character" w:customStyle="1" w:styleId="TextedebullesCar">
    <w:name w:val="Texte de bulles Car"/>
    <w:basedOn w:val="DefaultParagraphFont"/>
    <w:uiPriority w:val="99"/>
    <w:rsid w:val="00C54879"/>
    <w:rPr>
      <w:rFonts w:ascii="Tahoma" w:hAnsi="Tahoma" w:cs="Tahoma"/>
      <w:sz w:val="16"/>
      <w:szCs w:val="16"/>
    </w:rPr>
  </w:style>
  <w:style w:type="character" w:customStyle="1" w:styleId="ListLabel7">
    <w:name w:val="ListLabel 7"/>
    <w:uiPriority w:val="99"/>
    <w:rsid w:val="00C54879"/>
  </w:style>
  <w:style w:type="character" w:customStyle="1" w:styleId="ListLabel8">
    <w:name w:val="ListLabel 8"/>
    <w:uiPriority w:val="99"/>
    <w:rsid w:val="00C54879"/>
  </w:style>
  <w:style w:type="character" w:customStyle="1" w:styleId="ListLabel9">
    <w:name w:val="ListLabel 9"/>
    <w:uiPriority w:val="99"/>
    <w:rsid w:val="00C54879"/>
  </w:style>
  <w:style w:type="character" w:customStyle="1" w:styleId="ListLabel10">
    <w:name w:val="ListLabel 10"/>
    <w:uiPriority w:val="99"/>
    <w:rsid w:val="00C54879"/>
  </w:style>
  <w:style w:type="paragraph" w:styleId="Title">
    <w:name w:val="Title"/>
    <w:basedOn w:val="Standard"/>
    <w:next w:val="BodyText"/>
    <w:link w:val="TitleChar"/>
    <w:uiPriority w:val="99"/>
    <w:qFormat/>
    <w:rsid w:val="00C54879"/>
    <w:pPr>
      <w:keepNext/>
      <w:spacing w:before="240" w:after="120"/>
    </w:pPr>
    <w:rPr>
      <w:rFonts w:ascii="Arial" w:hAnsi="Arial" w:cs="Arial Unicode MS"/>
      <w:sz w:val="28"/>
      <w:szCs w:val="28"/>
    </w:rPr>
  </w:style>
  <w:style w:type="character" w:customStyle="1" w:styleId="TitleChar">
    <w:name w:val="Title Char"/>
    <w:basedOn w:val="DefaultParagraphFont"/>
    <w:link w:val="Title"/>
    <w:uiPriority w:val="10"/>
    <w:rsid w:val="00334A6C"/>
    <w:rPr>
      <w:rFonts w:asciiTheme="majorHAnsi" w:eastAsiaTheme="majorEastAsia" w:hAnsiTheme="majorHAnsi" w:cstheme="majorBidi"/>
      <w:b/>
      <w:bCs/>
      <w:kern w:val="28"/>
      <w:sz w:val="32"/>
      <w:szCs w:val="32"/>
    </w:rPr>
  </w:style>
  <w:style w:type="paragraph" w:styleId="BodyText">
    <w:name w:val="Body Text"/>
    <w:basedOn w:val="Standard"/>
    <w:link w:val="BodyTextChar"/>
    <w:uiPriority w:val="99"/>
    <w:rsid w:val="00C54879"/>
    <w:pPr>
      <w:spacing w:after="120"/>
    </w:pPr>
  </w:style>
  <w:style w:type="character" w:customStyle="1" w:styleId="BodyTextChar">
    <w:name w:val="Body Text Char"/>
    <w:basedOn w:val="DefaultParagraphFont"/>
    <w:link w:val="BodyText"/>
    <w:uiPriority w:val="99"/>
    <w:semiHidden/>
    <w:rsid w:val="00334A6C"/>
  </w:style>
  <w:style w:type="paragraph" w:styleId="List">
    <w:name w:val="List"/>
    <w:basedOn w:val="BodyText"/>
    <w:uiPriority w:val="99"/>
    <w:rsid w:val="00C54879"/>
  </w:style>
  <w:style w:type="paragraph" w:styleId="Caption">
    <w:name w:val="caption"/>
    <w:basedOn w:val="Standard"/>
    <w:uiPriority w:val="99"/>
    <w:qFormat/>
    <w:rsid w:val="00C54879"/>
    <w:pPr>
      <w:suppressLineNumbers/>
      <w:spacing w:before="120" w:after="120"/>
    </w:pPr>
    <w:rPr>
      <w:i/>
      <w:iCs/>
      <w:sz w:val="24"/>
      <w:szCs w:val="24"/>
    </w:rPr>
  </w:style>
  <w:style w:type="paragraph" w:customStyle="1" w:styleId="Index">
    <w:name w:val="Index"/>
    <w:basedOn w:val="Standard"/>
    <w:uiPriority w:val="99"/>
    <w:rsid w:val="00C54879"/>
    <w:pPr>
      <w:suppressLineNumbers/>
    </w:pPr>
  </w:style>
  <w:style w:type="paragraph" w:customStyle="1" w:styleId="Titreprincipal">
    <w:name w:val="Titre principal"/>
    <w:basedOn w:val="Standard"/>
    <w:next w:val="Subtitle"/>
    <w:uiPriority w:val="99"/>
    <w:rsid w:val="00C54879"/>
    <w:pPr>
      <w:keepNext/>
      <w:spacing w:before="240" w:after="120"/>
      <w:jc w:val="center"/>
    </w:pPr>
    <w:rPr>
      <w:rFonts w:ascii="Arial" w:hAnsi="Arial" w:cs="Arial Unicode MS"/>
      <w:b/>
      <w:bCs/>
      <w:sz w:val="28"/>
      <w:szCs w:val="28"/>
    </w:rPr>
  </w:style>
  <w:style w:type="paragraph" w:styleId="Subtitle">
    <w:name w:val="Subtitle"/>
    <w:basedOn w:val="Title"/>
    <w:next w:val="BodyText"/>
    <w:link w:val="SubtitleChar"/>
    <w:uiPriority w:val="99"/>
    <w:qFormat/>
    <w:rsid w:val="00C54879"/>
    <w:pPr>
      <w:jc w:val="center"/>
    </w:pPr>
    <w:rPr>
      <w:i/>
      <w:iCs/>
    </w:rPr>
  </w:style>
  <w:style w:type="character" w:customStyle="1" w:styleId="SubtitleChar">
    <w:name w:val="Subtitle Char"/>
    <w:basedOn w:val="DefaultParagraphFont"/>
    <w:link w:val="Subtitle"/>
    <w:uiPriority w:val="11"/>
    <w:rsid w:val="00334A6C"/>
    <w:rPr>
      <w:rFonts w:asciiTheme="majorHAnsi" w:eastAsiaTheme="majorEastAsia" w:hAnsiTheme="majorHAnsi" w:cstheme="majorBidi"/>
      <w:sz w:val="24"/>
      <w:szCs w:val="24"/>
    </w:rPr>
  </w:style>
  <w:style w:type="paragraph" w:styleId="ListParagraph">
    <w:name w:val="List Paragraph"/>
    <w:basedOn w:val="Standard"/>
    <w:uiPriority w:val="99"/>
    <w:qFormat/>
    <w:rsid w:val="00C54879"/>
    <w:pPr>
      <w:ind w:left="720"/>
      <w:contextualSpacing/>
    </w:pPr>
  </w:style>
  <w:style w:type="paragraph" w:styleId="CommentText">
    <w:name w:val="annotation text"/>
    <w:basedOn w:val="Standard"/>
    <w:link w:val="CommentTextChar"/>
    <w:uiPriority w:val="99"/>
    <w:rsid w:val="00C54879"/>
    <w:pPr>
      <w:spacing w:line="100" w:lineRule="atLeast"/>
    </w:pPr>
    <w:rPr>
      <w:sz w:val="20"/>
      <w:szCs w:val="20"/>
    </w:rPr>
  </w:style>
  <w:style w:type="character" w:customStyle="1" w:styleId="CommentTextChar">
    <w:name w:val="Comment Text Char"/>
    <w:basedOn w:val="DefaultParagraphFont"/>
    <w:link w:val="CommentText"/>
    <w:uiPriority w:val="99"/>
    <w:semiHidden/>
    <w:rsid w:val="00334A6C"/>
    <w:rPr>
      <w:sz w:val="20"/>
      <w:szCs w:val="20"/>
    </w:rPr>
  </w:style>
  <w:style w:type="paragraph" w:styleId="CommentSubject">
    <w:name w:val="annotation subject"/>
    <w:basedOn w:val="CommentText"/>
    <w:link w:val="CommentSubjectChar"/>
    <w:uiPriority w:val="99"/>
    <w:rsid w:val="00C54879"/>
    <w:rPr>
      <w:b/>
      <w:bCs/>
    </w:rPr>
  </w:style>
  <w:style w:type="character" w:customStyle="1" w:styleId="CommentSubjectChar">
    <w:name w:val="Comment Subject Char"/>
    <w:basedOn w:val="CommentTextChar"/>
    <w:link w:val="CommentSubject"/>
    <w:uiPriority w:val="99"/>
    <w:semiHidden/>
    <w:rsid w:val="00334A6C"/>
    <w:rPr>
      <w:b/>
      <w:bCs/>
    </w:rPr>
  </w:style>
  <w:style w:type="paragraph" w:styleId="BalloonText">
    <w:name w:val="Balloon Text"/>
    <w:basedOn w:val="Standard"/>
    <w:link w:val="BalloonTextChar"/>
    <w:uiPriority w:val="99"/>
    <w:rsid w:val="00C54879"/>
    <w:pPr>
      <w:spacing w:after="0" w:line="100" w:lineRule="atLeas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A6C"/>
    <w:rPr>
      <w:rFonts w:ascii="Times New Roman" w:hAnsi="Times New Roman"/>
      <w:sz w:val="0"/>
      <w:szCs w:val="0"/>
    </w:rPr>
  </w:style>
  <w:style w:type="character" w:styleId="Hyperlink">
    <w:name w:val="Hyperlink"/>
    <w:basedOn w:val="DefaultParagraphFont"/>
    <w:uiPriority w:val="99"/>
    <w:rsid w:val="0076605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gvea.over-blo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a.asso.fre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so.fr" TargetMode="External"/><Relationship Id="rId11" Type="http://schemas.openxmlformats.org/officeDocument/2006/relationships/hyperlink" Target="coordination-asso-vigilance-lgv@orange.fr%20" TargetMode="External"/><Relationship Id="rId5" Type="http://schemas.openxmlformats.org/officeDocument/2006/relationships/hyperlink" Target="http://www.gironde.gouv.fr/Publications/Publications-legales/Grand-Projet-Ferroviaire-du-Sud-Ouest-GPSO" TargetMode="External"/><Relationship Id="rId10" Type="http://schemas.openxmlformats.org/officeDocument/2006/relationships/hyperlink" Target="http://www.sepanso.org/gironde/" TargetMode="External"/><Relationship Id="rId4" Type="http://schemas.openxmlformats.org/officeDocument/2006/relationships/webSettings" Target="webSettings.xml"/><Relationship Id="rId9" Type="http://schemas.openxmlformats.org/officeDocument/2006/relationships/hyperlink" Target="http://www.lgp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1045</Words>
  <Characters>5751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LGV NE PASSERA PAS PAR NOUS </dc:title>
  <dc:subject/>
  <dc:creator>tartampion</dc:creator>
  <cp:keywords/>
  <dc:description/>
  <cp:lastModifiedBy>Lusky</cp:lastModifiedBy>
  <cp:revision>2</cp:revision>
  <cp:lastPrinted>2014-10-04T14:43:00Z</cp:lastPrinted>
  <dcterms:created xsi:type="dcterms:W3CDTF">2014-12-09T13:52:00Z</dcterms:created>
  <dcterms:modified xsi:type="dcterms:W3CDTF">2014-12-09T13:52:00Z</dcterms:modified>
</cp:coreProperties>
</file>